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26637" w14:textId="77777777" w:rsidR="0023121E" w:rsidRDefault="00E67E57" w:rsidP="00CB6B28">
      <w:pPr>
        <w:jc w:val="center"/>
        <w:rPr>
          <w:vertAlign w:val="baseline"/>
        </w:rPr>
      </w:pPr>
      <w:r>
        <w:rPr>
          <w:vertAlign w:val="baseline"/>
        </w:rPr>
        <w:t xml:space="preserve">Liberal Education, the Ordered Soul, and Cicero’s </w:t>
      </w:r>
      <w:r w:rsidR="00CB6B28">
        <w:rPr>
          <w:i/>
          <w:vertAlign w:val="baseline"/>
        </w:rPr>
        <w:t xml:space="preserve">De </w:t>
      </w:r>
      <w:proofErr w:type="spellStart"/>
      <w:r w:rsidR="00CB6B28">
        <w:rPr>
          <w:i/>
          <w:vertAlign w:val="baseline"/>
        </w:rPr>
        <w:t>O</w:t>
      </w:r>
      <w:r>
        <w:rPr>
          <w:i/>
          <w:vertAlign w:val="baseline"/>
        </w:rPr>
        <w:t>fficiis</w:t>
      </w:r>
      <w:proofErr w:type="spellEnd"/>
      <w:r>
        <w:rPr>
          <w:i/>
          <w:vertAlign w:val="baseline"/>
        </w:rPr>
        <w:t>:</w:t>
      </w:r>
    </w:p>
    <w:p w14:paraId="06282F57" w14:textId="77777777" w:rsidR="00E67E57" w:rsidRDefault="00E67E57" w:rsidP="00CB6B28">
      <w:pPr>
        <w:jc w:val="center"/>
        <w:rPr>
          <w:vertAlign w:val="baseline"/>
        </w:rPr>
      </w:pPr>
      <w:r>
        <w:rPr>
          <w:vertAlign w:val="baseline"/>
        </w:rPr>
        <w:t>A Core Text for Every Curriculum</w:t>
      </w:r>
    </w:p>
    <w:p w14:paraId="4EACCA89" w14:textId="77777777" w:rsidR="00785DF9" w:rsidRDefault="00785DF9" w:rsidP="00CB6B28">
      <w:pPr>
        <w:jc w:val="center"/>
        <w:rPr>
          <w:vertAlign w:val="baseline"/>
        </w:rPr>
      </w:pPr>
    </w:p>
    <w:p w14:paraId="55E2D0DF" w14:textId="77777777" w:rsidR="00785DF9" w:rsidRDefault="00785DF9" w:rsidP="00CB6B28">
      <w:pPr>
        <w:jc w:val="center"/>
        <w:rPr>
          <w:vertAlign w:val="baseline"/>
        </w:rPr>
      </w:pPr>
      <w:r>
        <w:rPr>
          <w:vertAlign w:val="baseline"/>
        </w:rPr>
        <w:t>Mark A. Kalthoff, Ph.D.</w:t>
      </w:r>
    </w:p>
    <w:p w14:paraId="7973D273" w14:textId="77777777" w:rsidR="00CB6B28" w:rsidRDefault="00CB6B28" w:rsidP="00CB6B28">
      <w:pPr>
        <w:jc w:val="center"/>
        <w:rPr>
          <w:vertAlign w:val="baseline"/>
        </w:rPr>
      </w:pPr>
      <w:proofErr w:type="spellStart"/>
      <w:r>
        <w:rPr>
          <w:vertAlign w:val="baseline"/>
        </w:rPr>
        <w:t>Salvatori</w:t>
      </w:r>
      <w:proofErr w:type="spellEnd"/>
      <w:r>
        <w:rPr>
          <w:vertAlign w:val="baseline"/>
        </w:rPr>
        <w:t xml:space="preserve"> Chair in History, Professor and Chairman, Department of History</w:t>
      </w:r>
    </w:p>
    <w:p w14:paraId="6B5D8501" w14:textId="77777777" w:rsidR="00785DF9" w:rsidRDefault="00785DF9" w:rsidP="00CB6B28">
      <w:pPr>
        <w:jc w:val="center"/>
        <w:rPr>
          <w:vertAlign w:val="baseline"/>
        </w:rPr>
      </w:pPr>
      <w:r>
        <w:rPr>
          <w:vertAlign w:val="baseline"/>
        </w:rPr>
        <w:t>Hillsdale College</w:t>
      </w:r>
    </w:p>
    <w:p w14:paraId="7DC461AF" w14:textId="77777777" w:rsidR="00DA35BF" w:rsidRDefault="00DA35BF" w:rsidP="00CB6B28">
      <w:pPr>
        <w:jc w:val="center"/>
        <w:rPr>
          <w:vertAlign w:val="baseline"/>
        </w:rPr>
      </w:pPr>
    </w:p>
    <w:p w14:paraId="71E46D2F" w14:textId="77777777" w:rsidR="00DA35BF" w:rsidRDefault="00DA35BF" w:rsidP="00CB6B28">
      <w:pPr>
        <w:jc w:val="center"/>
        <w:rPr>
          <w:vertAlign w:val="baseline"/>
        </w:rPr>
      </w:pPr>
      <w:r>
        <w:rPr>
          <w:vertAlign w:val="baseline"/>
        </w:rPr>
        <w:t>A paper for the ACTC Liberal Arts Institute Conference on</w:t>
      </w:r>
    </w:p>
    <w:p w14:paraId="633D9297" w14:textId="77777777" w:rsidR="00DA35BF" w:rsidRDefault="00DA35BF" w:rsidP="00CB6B28">
      <w:pPr>
        <w:jc w:val="center"/>
        <w:rPr>
          <w:vertAlign w:val="baseline"/>
        </w:rPr>
      </w:pPr>
      <w:r>
        <w:rPr>
          <w:vertAlign w:val="baseline"/>
        </w:rPr>
        <w:t>The Intersection of Religious and Secular Cores in Undergraduate Liberal Arts Education</w:t>
      </w:r>
    </w:p>
    <w:p w14:paraId="4C2DA80F" w14:textId="6B6143AB" w:rsidR="00DA35BF" w:rsidRDefault="00BA097C" w:rsidP="00CB6B28">
      <w:pPr>
        <w:jc w:val="center"/>
        <w:rPr>
          <w:vertAlign w:val="baseline"/>
        </w:rPr>
      </w:pPr>
      <w:r>
        <w:rPr>
          <w:vertAlign w:val="baseline"/>
        </w:rPr>
        <w:t xml:space="preserve">Rhodes College, Memphis, TN • </w:t>
      </w:r>
      <w:r w:rsidR="00DA35BF">
        <w:rPr>
          <w:vertAlign w:val="baseline"/>
        </w:rPr>
        <w:t>September 27, 2014</w:t>
      </w:r>
    </w:p>
    <w:p w14:paraId="0E95354C" w14:textId="77777777" w:rsidR="00E67E57" w:rsidRDefault="00E67E57">
      <w:pPr>
        <w:rPr>
          <w:vertAlign w:val="baseline"/>
        </w:rPr>
      </w:pPr>
    </w:p>
    <w:p w14:paraId="0D2A6307" w14:textId="77777777" w:rsidR="00E67E57" w:rsidRDefault="00E67E57" w:rsidP="00CB6B28">
      <w:pPr>
        <w:spacing w:line="480" w:lineRule="auto"/>
        <w:rPr>
          <w:vertAlign w:val="baseline"/>
        </w:rPr>
      </w:pPr>
    </w:p>
    <w:p w14:paraId="2E25C2C9" w14:textId="4817B899" w:rsidR="00421557" w:rsidRDefault="00CB6B28" w:rsidP="00CB6B28">
      <w:pPr>
        <w:spacing w:line="480" w:lineRule="auto"/>
        <w:rPr>
          <w:vertAlign w:val="baseline"/>
        </w:rPr>
      </w:pPr>
      <w:r>
        <w:rPr>
          <w:vertAlign w:val="baseline"/>
        </w:rPr>
        <w:tab/>
      </w:r>
      <w:r w:rsidR="005718AD">
        <w:rPr>
          <w:vertAlign w:val="baseline"/>
        </w:rPr>
        <w:t xml:space="preserve"> Whatever goods attend liberal learning –</w:t>
      </w:r>
      <w:r w:rsidR="00C31DA1">
        <w:rPr>
          <w:vertAlign w:val="baseline"/>
        </w:rPr>
        <w:t xml:space="preserve"> </w:t>
      </w:r>
      <w:r w:rsidR="005718AD">
        <w:rPr>
          <w:vertAlign w:val="baseline"/>
        </w:rPr>
        <w:t>be that learning secular or religious – the very etymology of</w:t>
      </w:r>
      <w:r w:rsidR="00B14D1F">
        <w:rPr>
          <w:vertAlign w:val="baseline"/>
        </w:rPr>
        <w:t xml:space="preserve"> the term</w:t>
      </w:r>
      <w:r w:rsidR="005718AD">
        <w:rPr>
          <w:vertAlign w:val="baseline"/>
        </w:rPr>
        <w:t xml:space="preserve"> </w:t>
      </w:r>
      <w:proofErr w:type="spellStart"/>
      <w:r w:rsidR="005718AD">
        <w:rPr>
          <w:i/>
          <w:vertAlign w:val="baseline"/>
        </w:rPr>
        <w:t>artes</w:t>
      </w:r>
      <w:proofErr w:type="spellEnd"/>
      <w:r w:rsidR="005718AD">
        <w:rPr>
          <w:i/>
          <w:vertAlign w:val="baseline"/>
        </w:rPr>
        <w:t xml:space="preserve"> </w:t>
      </w:r>
      <w:proofErr w:type="spellStart"/>
      <w:r w:rsidR="005718AD">
        <w:rPr>
          <w:i/>
          <w:vertAlign w:val="baseline"/>
        </w:rPr>
        <w:t>liberales</w:t>
      </w:r>
      <w:proofErr w:type="spellEnd"/>
      <w:r w:rsidR="005718AD">
        <w:rPr>
          <w:i/>
          <w:vertAlign w:val="baseline"/>
        </w:rPr>
        <w:t xml:space="preserve"> </w:t>
      </w:r>
      <w:r w:rsidR="005718AD">
        <w:rPr>
          <w:vertAlign w:val="baseline"/>
        </w:rPr>
        <w:t>suggests th</w:t>
      </w:r>
      <w:r w:rsidR="007F065B">
        <w:rPr>
          <w:vertAlign w:val="baseline"/>
        </w:rPr>
        <w:t>at the capacity for free action</w:t>
      </w:r>
      <w:r w:rsidR="005718AD">
        <w:rPr>
          <w:vertAlign w:val="baseline"/>
        </w:rPr>
        <w:t xml:space="preserve"> </w:t>
      </w:r>
      <w:r w:rsidR="00F628EE">
        <w:rPr>
          <w:vertAlign w:val="baseline"/>
        </w:rPr>
        <w:t xml:space="preserve">may </w:t>
      </w:r>
      <w:r w:rsidR="00494F34">
        <w:rPr>
          <w:vertAlign w:val="baseline"/>
        </w:rPr>
        <w:t xml:space="preserve">be </w:t>
      </w:r>
      <w:r w:rsidR="007F065B">
        <w:rPr>
          <w:vertAlign w:val="baseline"/>
        </w:rPr>
        <w:t>among</w:t>
      </w:r>
      <w:r w:rsidR="00C31DA1">
        <w:rPr>
          <w:vertAlign w:val="baseline"/>
        </w:rPr>
        <w:t xml:space="preserve"> the natural fruits of</w:t>
      </w:r>
      <w:r w:rsidR="007F065B">
        <w:rPr>
          <w:vertAlign w:val="baseline"/>
        </w:rPr>
        <w:t xml:space="preserve"> </w:t>
      </w:r>
      <w:r w:rsidR="00C31DA1">
        <w:rPr>
          <w:vertAlign w:val="baseline"/>
        </w:rPr>
        <w:t>liberal education</w:t>
      </w:r>
      <w:r w:rsidR="007F065B">
        <w:rPr>
          <w:vertAlign w:val="baseline"/>
        </w:rPr>
        <w:t xml:space="preserve">.  </w:t>
      </w:r>
      <w:r w:rsidR="00036436">
        <w:rPr>
          <w:vertAlign w:val="baseline"/>
        </w:rPr>
        <w:t xml:space="preserve">If only the </w:t>
      </w:r>
      <w:r w:rsidR="008D37A6">
        <w:rPr>
          <w:vertAlign w:val="baseline"/>
        </w:rPr>
        <w:t xml:space="preserve">free man can </w:t>
      </w:r>
      <w:r w:rsidR="008D37A6" w:rsidRPr="00055ED0">
        <w:rPr>
          <w:i/>
          <w:vertAlign w:val="baseline"/>
        </w:rPr>
        <w:t>both</w:t>
      </w:r>
      <w:r w:rsidR="008D37A6">
        <w:rPr>
          <w:vertAlign w:val="baseline"/>
        </w:rPr>
        <w:t xml:space="preserve"> recognize those</w:t>
      </w:r>
      <w:r w:rsidR="00036436">
        <w:rPr>
          <w:vertAlign w:val="baseline"/>
        </w:rPr>
        <w:t xml:space="preserve"> </w:t>
      </w:r>
      <w:r w:rsidR="00395C42">
        <w:rPr>
          <w:vertAlign w:val="baseline"/>
        </w:rPr>
        <w:t>normative</w:t>
      </w:r>
      <w:r w:rsidR="008D37A6">
        <w:rPr>
          <w:vertAlign w:val="baseline"/>
        </w:rPr>
        <w:t xml:space="preserve"> categories of moral excellence called virtues</w:t>
      </w:r>
      <w:r w:rsidR="00036436">
        <w:rPr>
          <w:vertAlign w:val="baseline"/>
        </w:rPr>
        <w:t xml:space="preserve"> and act in accordance with them, then liberal education, insofar as it makes </w:t>
      </w:r>
      <w:r w:rsidR="00B14D1F">
        <w:rPr>
          <w:vertAlign w:val="baseline"/>
        </w:rPr>
        <w:t>men</w:t>
      </w:r>
      <w:r w:rsidR="00036436">
        <w:rPr>
          <w:vertAlign w:val="baseline"/>
        </w:rPr>
        <w:t xml:space="preserve"> </w:t>
      </w:r>
      <w:r w:rsidR="00B14D1F">
        <w:rPr>
          <w:vertAlign w:val="baseline"/>
        </w:rPr>
        <w:t>free</w:t>
      </w:r>
      <w:r w:rsidR="00036436">
        <w:rPr>
          <w:vertAlign w:val="baseline"/>
        </w:rPr>
        <w:t xml:space="preserve"> and empowers them to remain free, may </w:t>
      </w:r>
      <w:r w:rsidR="00B14D1F">
        <w:rPr>
          <w:vertAlign w:val="baseline"/>
        </w:rPr>
        <w:t>serve to order and discipline</w:t>
      </w:r>
      <w:r w:rsidR="00036436">
        <w:rPr>
          <w:vertAlign w:val="baseline"/>
        </w:rPr>
        <w:t xml:space="preserve"> the soul toward moral rectitude</w:t>
      </w:r>
      <w:r w:rsidR="00B14D1F">
        <w:rPr>
          <w:vertAlign w:val="baseline"/>
        </w:rPr>
        <w:t xml:space="preserve"> and</w:t>
      </w:r>
      <w:r w:rsidR="00421557">
        <w:rPr>
          <w:vertAlign w:val="baseline"/>
        </w:rPr>
        <w:t xml:space="preserve"> decorum</w:t>
      </w:r>
      <w:r w:rsidR="00036436">
        <w:rPr>
          <w:vertAlign w:val="baseline"/>
        </w:rPr>
        <w:t xml:space="preserve">. </w:t>
      </w:r>
      <w:r w:rsidR="00421557">
        <w:rPr>
          <w:vertAlign w:val="baseline"/>
        </w:rPr>
        <w:t xml:space="preserve"> </w:t>
      </w:r>
      <w:r w:rsidR="003D569C">
        <w:rPr>
          <w:vertAlign w:val="baseline"/>
        </w:rPr>
        <w:t>Further, might a</w:t>
      </w:r>
      <w:r w:rsidR="00421557">
        <w:rPr>
          <w:vertAlign w:val="baseline"/>
        </w:rPr>
        <w:t xml:space="preserve"> community of such souls claim for itself some </w:t>
      </w:r>
      <w:r w:rsidR="00E62084">
        <w:rPr>
          <w:vertAlign w:val="baseline"/>
        </w:rPr>
        <w:t>verisimilitude to the</w:t>
      </w:r>
      <w:r w:rsidR="00B14D1F">
        <w:rPr>
          <w:vertAlign w:val="baseline"/>
        </w:rPr>
        <w:t xml:space="preserve"> </w:t>
      </w:r>
      <w:r w:rsidR="003D569C">
        <w:rPr>
          <w:vertAlign w:val="baseline"/>
        </w:rPr>
        <w:t>good society?</w:t>
      </w:r>
      <w:r w:rsidR="00421557">
        <w:rPr>
          <w:vertAlign w:val="baseline"/>
        </w:rPr>
        <w:t xml:space="preserve"> </w:t>
      </w:r>
      <w:r w:rsidR="00036436">
        <w:rPr>
          <w:vertAlign w:val="baseline"/>
        </w:rPr>
        <w:t xml:space="preserve"> Conversely, can the</w:t>
      </w:r>
      <w:r w:rsidR="007F065B">
        <w:rPr>
          <w:vertAlign w:val="baseline"/>
        </w:rPr>
        <w:t xml:space="preserve"> disordered </w:t>
      </w:r>
      <w:r w:rsidR="00036436">
        <w:rPr>
          <w:vertAlign w:val="baseline"/>
        </w:rPr>
        <w:t>soul</w:t>
      </w:r>
      <w:r w:rsidR="007F065B">
        <w:rPr>
          <w:vertAlign w:val="baseline"/>
        </w:rPr>
        <w:t xml:space="preserve"> </w:t>
      </w:r>
      <w:r w:rsidR="00036436">
        <w:rPr>
          <w:vertAlign w:val="baseline"/>
        </w:rPr>
        <w:t>bent to the</w:t>
      </w:r>
      <w:r w:rsidR="007F065B">
        <w:rPr>
          <w:vertAlign w:val="baseline"/>
        </w:rPr>
        <w:t xml:space="preserve"> service of </w:t>
      </w:r>
      <w:r w:rsidR="00F628EE">
        <w:rPr>
          <w:vertAlign w:val="baseline"/>
        </w:rPr>
        <w:t>vicious passions</w:t>
      </w:r>
      <w:r w:rsidR="007F065B">
        <w:rPr>
          <w:vertAlign w:val="baseline"/>
        </w:rPr>
        <w:t xml:space="preserve"> rightly claim </w:t>
      </w:r>
      <w:r w:rsidR="00F628EE">
        <w:rPr>
          <w:vertAlign w:val="baseline"/>
        </w:rPr>
        <w:t>the</w:t>
      </w:r>
      <w:r w:rsidR="007F065B">
        <w:rPr>
          <w:vertAlign w:val="baseline"/>
        </w:rPr>
        <w:t xml:space="preserve"> capacity for free action?</w:t>
      </w:r>
      <w:r w:rsidR="00036436">
        <w:rPr>
          <w:vertAlign w:val="baseline"/>
        </w:rPr>
        <w:t xml:space="preserve">  </w:t>
      </w:r>
      <w:r w:rsidR="00F628EE">
        <w:rPr>
          <w:vertAlign w:val="baseline"/>
        </w:rPr>
        <w:t>If a society has cashiered recognition of fixed moral go</w:t>
      </w:r>
      <w:r w:rsidR="00036436">
        <w:rPr>
          <w:vertAlign w:val="baseline"/>
        </w:rPr>
        <w:t>ods</w:t>
      </w:r>
      <w:r w:rsidR="00F628EE">
        <w:rPr>
          <w:vertAlign w:val="baseline"/>
        </w:rPr>
        <w:t xml:space="preserve"> for </w:t>
      </w:r>
      <w:r w:rsidR="00555B2A">
        <w:rPr>
          <w:vertAlign w:val="baseline"/>
        </w:rPr>
        <w:t>values relativism and</w:t>
      </w:r>
      <w:r w:rsidR="00F628EE">
        <w:rPr>
          <w:vertAlign w:val="baseline"/>
        </w:rPr>
        <w:t xml:space="preserve"> identity politics, can it honestly call itself a good society?</w:t>
      </w:r>
      <w:r w:rsidR="008D37A6">
        <w:rPr>
          <w:vertAlign w:val="baseline"/>
        </w:rPr>
        <w:t xml:space="preserve">  Insofar as order and freedom</w:t>
      </w:r>
      <w:r w:rsidR="00B14D1F">
        <w:rPr>
          <w:vertAlign w:val="baseline"/>
        </w:rPr>
        <w:t xml:space="preserve">, </w:t>
      </w:r>
      <w:r w:rsidR="00494F34">
        <w:rPr>
          <w:vertAlign w:val="baseline"/>
        </w:rPr>
        <w:t>specifically</w:t>
      </w:r>
      <w:r w:rsidR="00B14D1F">
        <w:rPr>
          <w:vertAlign w:val="baseline"/>
        </w:rPr>
        <w:t xml:space="preserve"> </w:t>
      </w:r>
      <w:r w:rsidR="00494F34">
        <w:rPr>
          <w:vertAlign w:val="baseline"/>
        </w:rPr>
        <w:t xml:space="preserve">the </w:t>
      </w:r>
      <w:r w:rsidR="00B14D1F">
        <w:rPr>
          <w:vertAlign w:val="baseline"/>
        </w:rPr>
        <w:t>freedom to act in accord with virtue,</w:t>
      </w:r>
      <w:r w:rsidR="008D37A6">
        <w:rPr>
          <w:vertAlign w:val="baseline"/>
        </w:rPr>
        <w:t xml:space="preserve"> are f</w:t>
      </w:r>
      <w:r w:rsidR="00421557">
        <w:rPr>
          <w:vertAlign w:val="baseline"/>
        </w:rPr>
        <w:t>eatures of the good society</w:t>
      </w:r>
      <w:r w:rsidR="003D569C">
        <w:rPr>
          <w:vertAlign w:val="baseline"/>
        </w:rPr>
        <w:t xml:space="preserve"> and its members</w:t>
      </w:r>
      <w:r w:rsidR="00421557">
        <w:rPr>
          <w:vertAlign w:val="baseline"/>
        </w:rPr>
        <w:t xml:space="preserve">, liberal learning has something to offer, especially if that liberal learning, be it secular or religious, includes sympathetic engagement with </w:t>
      </w:r>
      <w:r w:rsidR="00A92821">
        <w:rPr>
          <w:vertAlign w:val="baseline"/>
        </w:rPr>
        <w:t xml:space="preserve">classic </w:t>
      </w:r>
      <w:r w:rsidR="00421557">
        <w:rPr>
          <w:vertAlign w:val="baseline"/>
        </w:rPr>
        <w:t xml:space="preserve">texts </w:t>
      </w:r>
      <w:r w:rsidR="00494F34">
        <w:rPr>
          <w:vertAlign w:val="baseline"/>
        </w:rPr>
        <w:t xml:space="preserve">authored by champions </w:t>
      </w:r>
      <w:r w:rsidR="00500B09">
        <w:rPr>
          <w:vertAlign w:val="baseline"/>
        </w:rPr>
        <w:t xml:space="preserve">of </w:t>
      </w:r>
      <w:r w:rsidR="00C31DA1">
        <w:rPr>
          <w:vertAlign w:val="baseline"/>
        </w:rPr>
        <w:t>civic order and freedom</w:t>
      </w:r>
      <w:r w:rsidR="00421557">
        <w:rPr>
          <w:vertAlign w:val="baseline"/>
        </w:rPr>
        <w:t>.</w:t>
      </w:r>
    </w:p>
    <w:p w14:paraId="79AE582E" w14:textId="43FDB08B" w:rsidR="00CB6B28" w:rsidRDefault="00421557" w:rsidP="00CB6B28">
      <w:pPr>
        <w:spacing w:line="480" w:lineRule="auto"/>
        <w:rPr>
          <w:vertAlign w:val="baseline"/>
        </w:rPr>
      </w:pPr>
      <w:r>
        <w:rPr>
          <w:vertAlign w:val="baseline"/>
        </w:rPr>
        <w:tab/>
      </w:r>
      <w:r w:rsidR="00F628EE">
        <w:rPr>
          <w:vertAlign w:val="baseline"/>
        </w:rPr>
        <w:t xml:space="preserve"> </w:t>
      </w:r>
      <w:r w:rsidR="00B14D1F">
        <w:rPr>
          <w:vertAlign w:val="baseline"/>
        </w:rPr>
        <w:t>Standing</w:t>
      </w:r>
      <w:r w:rsidR="00A92821">
        <w:rPr>
          <w:vertAlign w:val="baseline"/>
        </w:rPr>
        <w:t xml:space="preserve"> prominently in the </w:t>
      </w:r>
      <w:r w:rsidR="00B14D1F">
        <w:rPr>
          <w:vertAlign w:val="baseline"/>
        </w:rPr>
        <w:t xml:space="preserve">roster of </w:t>
      </w:r>
      <w:r w:rsidR="00A92821">
        <w:rPr>
          <w:vertAlign w:val="baseline"/>
        </w:rPr>
        <w:t>such ecumenical</w:t>
      </w:r>
      <w:r w:rsidR="00555B2A">
        <w:rPr>
          <w:vertAlign w:val="baseline"/>
        </w:rPr>
        <w:t xml:space="preserve"> texts and thereby addressing the spiritual aspirations </w:t>
      </w:r>
      <w:r w:rsidR="00494F34">
        <w:rPr>
          <w:vertAlign w:val="baseline"/>
        </w:rPr>
        <w:t>the liberal arts</w:t>
      </w:r>
      <w:r w:rsidR="00555B2A">
        <w:rPr>
          <w:vertAlign w:val="baseline"/>
        </w:rPr>
        <w:t xml:space="preserve"> student</w:t>
      </w:r>
      <w:r w:rsidR="00B14D1F">
        <w:rPr>
          <w:vertAlign w:val="baseline"/>
        </w:rPr>
        <w:t xml:space="preserve">, is </w:t>
      </w:r>
      <w:r w:rsidR="00473023">
        <w:rPr>
          <w:vertAlign w:val="baseline"/>
        </w:rPr>
        <w:t xml:space="preserve">the </w:t>
      </w:r>
      <w:r w:rsidR="00473023">
        <w:rPr>
          <w:i/>
          <w:vertAlign w:val="baseline"/>
        </w:rPr>
        <w:t xml:space="preserve">De </w:t>
      </w:r>
      <w:proofErr w:type="spellStart"/>
      <w:r w:rsidR="00473023">
        <w:rPr>
          <w:i/>
          <w:vertAlign w:val="baseline"/>
        </w:rPr>
        <w:t>Officiis</w:t>
      </w:r>
      <w:proofErr w:type="spellEnd"/>
      <w:r w:rsidR="00473023">
        <w:rPr>
          <w:i/>
          <w:vertAlign w:val="baseline"/>
        </w:rPr>
        <w:t>,</w:t>
      </w:r>
      <w:r w:rsidR="00A92821">
        <w:rPr>
          <w:vertAlign w:val="baseline"/>
        </w:rPr>
        <w:t xml:space="preserve"> of Marcus </w:t>
      </w:r>
      <w:proofErr w:type="spellStart"/>
      <w:r w:rsidR="00A92821">
        <w:rPr>
          <w:vertAlign w:val="baseline"/>
        </w:rPr>
        <w:lastRenderedPageBreak/>
        <w:t>Tullius</w:t>
      </w:r>
      <w:proofErr w:type="spellEnd"/>
      <w:r w:rsidR="00A92821">
        <w:rPr>
          <w:vertAlign w:val="baseline"/>
        </w:rPr>
        <w:t xml:space="preserve"> Cicero (103-43 B.C.).  Altho</w:t>
      </w:r>
      <w:r w:rsidR="00575B33">
        <w:rPr>
          <w:vertAlign w:val="baseline"/>
        </w:rPr>
        <w:t xml:space="preserve">ugh some scholars have demurred, calling </w:t>
      </w:r>
      <w:r w:rsidR="00E5624B">
        <w:rPr>
          <w:vertAlign w:val="baseline"/>
        </w:rPr>
        <w:t>the text a</w:t>
      </w:r>
      <w:r w:rsidR="00A62381">
        <w:rPr>
          <w:vertAlign w:val="baseline"/>
        </w:rPr>
        <w:t>n unpolished</w:t>
      </w:r>
      <w:r w:rsidR="00A92821">
        <w:rPr>
          <w:vertAlign w:val="baseline"/>
        </w:rPr>
        <w:t xml:space="preserve"> </w:t>
      </w:r>
      <w:r w:rsidR="00575B33">
        <w:rPr>
          <w:vertAlign w:val="baseline"/>
        </w:rPr>
        <w:t xml:space="preserve">hastily-composed </w:t>
      </w:r>
      <w:r w:rsidR="00A92821">
        <w:rPr>
          <w:vertAlign w:val="baseline"/>
        </w:rPr>
        <w:t>“afterthought”</w:t>
      </w:r>
      <w:r w:rsidR="00575B33">
        <w:rPr>
          <w:vertAlign w:val="baseline"/>
        </w:rPr>
        <w:t xml:space="preserve"> </w:t>
      </w:r>
      <w:r w:rsidR="00A62381">
        <w:rPr>
          <w:vertAlign w:val="baseline"/>
        </w:rPr>
        <w:t>lacking</w:t>
      </w:r>
      <w:r w:rsidR="00575B33">
        <w:rPr>
          <w:vertAlign w:val="baseline"/>
        </w:rPr>
        <w:t xml:space="preserve"> philosophical originality, it</w:t>
      </w:r>
      <w:r w:rsidR="00C31DA1">
        <w:rPr>
          <w:vertAlign w:val="baseline"/>
        </w:rPr>
        <w:t xml:space="preserve"> remains undisput</w:t>
      </w:r>
      <w:r w:rsidR="00575B33">
        <w:rPr>
          <w:vertAlign w:val="baseline"/>
        </w:rPr>
        <w:t>e</w:t>
      </w:r>
      <w:r w:rsidR="00C31DA1">
        <w:rPr>
          <w:vertAlign w:val="baseline"/>
        </w:rPr>
        <w:t>d</w:t>
      </w:r>
      <w:r w:rsidR="00575B33">
        <w:rPr>
          <w:vertAlign w:val="baseline"/>
        </w:rPr>
        <w:t xml:space="preserve"> that </w:t>
      </w:r>
      <w:r w:rsidR="00575B33">
        <w:rPr>
          <w:i/>
          <w:vertAlign w:val="baseline"/>
        </w:rPr>
        <w:t xml:space="preserve">De </w:t>
      </w:r>
      <w:proofErr w:type="spellStart"/>
      <w:r w:rsidR="00575B33">
        <w:rPr>
          <w:i/>
          <w:vertAlign w:val="baseline"/>
        </w:rPr>
        <w:t>Officiis</w:t>
      </w:r>
      <w:proofErr w:type="spellEnd"/>
      <w:r w:rsidR="00575B33">
        <w:rPr>
          <w:vertAlign w:val="baseline"/>
        </w:rPr>
        <w:t xml:space="preserve"> exercised profound influence upon</w:t>
      </w:r>
      <w:r w:rsidR="00E5624B">
        <w:rPr>
          <w:vertAlign w:val="baseline"/>
        </w:rPr>
        <w:t xml:space="preserve"> audiences both pagan and Christian, ancient and modern, </w:t>
      </w:r>
      <w:r w:rsidR="00A62381">
        <w:rPr>
          <w:vertAlign w:val="baseline"/>
        </w:rPr>
        <w:t xml:space="preserve">and </w:t>
      </w:r>
      <w:r w:rsidR="00E62084">
        <w:rPr>
          <w:vertAlign w:val="baseline"/>
        </w:rPr>
        <w:t xml:space="preserve">has </w:t>
      </w:r>
      <w:r w:rsidR="00A62381">
        <w:rPr>
          <w:vertAlign w:val="baseline"/>
        </w:rPr>
        <w:t>emerged</w:t>
      </w:r>
      <w:r w:rsidR="00E5624B">
        <w:rPr>
          <w:vertAlign w:val="baseline"/>
        </w:rPr>
        <w:t xml:space="preserve"> as a classic statement on the features of an ordered soul and the just society.</w:t>
      </w:r>
      <w:r w:rsidR="00E5624B">
        <w:rPr>
          <w:rStyle w:val="EndnoteReference"/>
        </w:rPr>
        <w:endnoteReference w:id="1"/>
      </w:r>
      <w:r w:rsidR="00395C42">
        <w:rPr>
          <w:vertAlign w:val="baseline"/>
        </w:rPr>
        <w:t xml:space="preserve">  Indeed, </w:t>
      </w:r>
      <w:r w:rsidR="00395C42">
        <w:rPr>
          <w:i/>
          <w:vertAlign w:val="baseline"/>
        </w:rPr>
        <w:t xml:space="preserve">De </w:t>
      </w:r>
      <w:proofErr w:type="spellStart"/>
      <w:r w:rsidR="00395C42">
        <w:rPr>
          <w:i/>
          <w:vertAlign w:val="baseline"/>
        </w:rPr>
        <w:t>Officiis</w:t>
      </w:r>
      <w:proofErr w:type="spellEnd"/>
      <w:r w:rsidR="00DC0697">
        <w:rPr>
          <w:vertAlign w:val="baseline"/>
        </w:rPr>
        <w:t xml:space="preserve"> may be the most copied and widely praised pagan text in the history of the Christian West.  In the history of publishing,</w:t>
      </w:r>
      <w:r w:rsidR="00E71972">
        <w:rPr>
          <w:vertAlign w:val="baseline"/>
        </w:rPr>
        <w:t xml:space="preserve"> the profound importance of</w:t>
      </w:r>
      <w:r w:rsidR="00DC0697">
        <w:rPr>
          <w:vertAlign w:val="baseline"/>
        </w:rPr>
        <w:t xml:space="preserve"> </w:t>
      </w:r>
      <w:r w:rsidR="00E71972">
        <w:rPr>
          <w:i/>
          <w:vertAlign w:val="baseline"/>
        </w:rPr>
        <w:t xml:space="preserve">De </w:t>
      </w:r>
      <w:proofErr w:type="spellStart"/>
      <w:r w:rsidR="00E71972">
        <w:rPr>
          <w:i/>
          <w:vertAlign w:val="baseline"/>
        </w:rPr>
        <w:t>Officiis</w:t>
      </w:r>
      <w:proofErr w:type="spellEnd"/>
      <w:r w:rsidR="00E71972">
        <w:rPr>
          <w:vertAlign w:val="baseline"/>
        </w:rPr>
        <w:t xml:space="preserve"> in the Western canon is revealed by its 1465 publication, making it the first classic text to be published and the second only to Gutenberg’s Bible</w:t>
      </w:r>
      <w:r w:rsidR="00DC0697">
        <w:rPr>
          <w:vertAlign w:val="baseline"/>
        </w:rPr>
        <w:t>.</w:t>
      </w:r>
      <w:r w:rsidR="00E71972">
        <w:rPr>
          <w:rStyle w:val="EndnoteReference"/>
        </w:rPr>
        <w:endnoteReference w:id="2"/>
      </w:r>
      <w:r w:rsidR="00395C42">
        <w:rPr>
          <w:vertAlign w:val="baseline"/>
        </w:rPr>
        <w:t xml:space="preserve"> </w:t>
      </w:r>
      <w:r w:rsidR="00A62381">
        <w:rPr>
          <w:vertAlign w:val="baseline"/>
        </w:rPr>
        <w:t xml:space="preserve">  </w:t>
      </w:r>
      <w:r w:rsidR="00395C42">
        <w:rPr>
          <w:vertAlign w:val="baseline"/>
        </w:rPr>
        <w:t xml:space="preserve">Rapidly written in a brief span of under four weeks during </w:t>
      </w:r>
      <w:r w:rsidR="00A62381">
        <w:rPr>
          <w:vertAlign w:val="baseline"/>
        </w:rPr>
        <w:t>the autumn of 44 B.C., it is a</w:t>
      </w:r>
      <w:r w:rsidR="00883924">
        <w:rPr>
          <w:vertAlign w:val="baseline"/>
        </w:rPr>
        <w:t xml:space="preserve"> letter, indeed the final extant communication, </w:t>
      </w:r>
      <w:r w:rsidR="003D569C">
        <w:rPr>
          <w:vertAlign w:val="baseline"/>
        </w:rPr>
        <w:t xml:space="preserve">from </w:t>
      </w:r>
      <w:r w:rsidR="007E19D2">
        <w:rPr>
          <w:vertAlign w:val="baseline"/>
        </w:rPr>
        <w:t xml:space="preserve">the </w:t>
      </w:r>
      <w:r w:rsidR="00395C42">
        <w:rPr>
          <w:vertAlign w:val="baseline"/>
        </w:rPr>
        <w:t>sixty-two-year-old</w:t>
      </w:r>
      <w:r w:rsidR="003D569C">
        <w:rPr>
          <w:vertAlign w:val="baseline"/>
        </w:rPr>
        <w:t xml:space="preserve"> father </w:t>
      </w:r>
      <w:r w:rsidR="00883924">
        <w:rPr>
          <w:vertAlign w:val="baseline"/>
        </w:rPr>
        <w:t>to his twenty-one-year-old son, Marcus.  In o</w:t>
      </w:r>
      <w:r w:rsidR="00E62084">
        <w:rPr>
          <w:vertAlign w:val="baseline"/>
        </w:rPr>
        <w:t xml:space="preserve">ffering his musings on duty, </w:t>
      </w:r>
      <w:r w:rsidR="00883924">
        <w:rPr>
          <w:vertAlign w:val="baseline"/>
        </w:rPr>
        <w:t>virtue, public life</w:t>
      </w:r>
      <w:r w:rsidR="003D569C">
        <w:rPr>
          <w:vertAlign w:val="baseline"/>
        </w:rPr>
        <w:t>,</w:t>
      </w:r>
      <w:r w:rsidR="00883924">
        <w:rPr>
          <w:vertAlign w:val="baseline"/>
        </w:rPr>
        <w:t xml:space="preserve"> and private morality, Cicero passes to the next generation his considered </w:t>
      </w:r>
      <w:r w:rsidR="00C31DA1">
        <w:rPr>
          <w:vertAlign w:val="baseline"/>
        </w:rPr>
        <w:t>judgments</w:t>
      </w:r>
      <w:r w:rsidR="00883924">
        <w:rPr>
          <w:vertAlign w:val="baseline"/>
        </w:rPr>
        <w:t xml:space="preserve"> regarding human nature and the just society.</w:t>
      </w:r>
      <w:r w:rsidR="00E62084">
        <w:rPr>
          <w:vertAlign w:val="baseline"/>
        </w:rPr>
        <w:t xml:space="preserve">  Accordingly, the text takes up enduring themes and perennial questions whose thoughtful consideration by undergraduates</w:t>
      </w:r>
      <w:r w:rsidR="007E19D2">
        <w:rPr>
          <w:vertAlign w:val="baseline"/>
        </w:rPr>
        <w:t xml:space="preserve"> today</w:t>
      </w:r>
      <w:r w:rsidR="00E62084">
        <w:rPr>
          <w:vertAlign w:val="baseline"/>
        </w:rPr>
        <w:t xml:space="preserve"> </w:t>
      </w:r>
      <w:r w:rsidR="003D569C">
        <w:rPr>
          <w:vertAlign w:val="baseline"/>
        </w:rPr>
        <w:t>can</w:t>
      </w:r>
      <w:r w:rsidR="00C31DA1">
        <w:rPr>
          <w:vertAlign w:val="baseline"/>
        </w:rPr>
        <w:t xml:space="preserve"> prepare</w:t>
      </w:r>
      <w:r w:rsidR="00E62084">
        <w:rPr>
          <w:vertAlign w:val="baseline"/>
        </w:rPr>
        <w:t>, if only</w:t>
      </w:r>
      <w:r w:rsidR="00494F34">
        <w:rPr>
          <w:vertAlign w:val="baseline"/>
        </w:rPr>
        <w:t xml:space="preserve"> in part, for human flourishing</w:t>
      </w:r>
      <w:r w:rsidR="00E62084">
        <w:rPr>
          <w:vertAlign w:val="baseline"/>
        </w:rPr>
        <w:t>.</w:t>
      </w:r>
    </w:p>
    <w:p w14:paraId="336D812A" w14:textId="4FE706C3" w:rsidR="00E62084" w:rsidRPr="00016C34" w:rsidRDefault="00B5568D" w:rsidP="00DC0697">
      <w:pPr>
        <w:spacing w:line="480" w:lineRule="auto"/>
        <w:ind w:firstLine="720"/>
        <w:rPr>
          <w:rFonts w:ascii="Optima ExtraBlack" w:hAnsi="Optima ExtraBlack" w:cs="Optima ExtraBlack"/>
          <w:sz w:val="28"/>
          <w:vertAlign w:val="baseline"/>
        </w:rPr>
      </w:pPr>
      <w:r>
        <w:rPr>
          <w:vertAlign w:val="baseline"/>
        </w:rPr>
        <w:t xml:space="preserve">The title of Cicero’s Latin text, </w:t>
      </w:r>
      <w:r>
        <w:rPr>
          <w:i/>
          <w:vertAlign w:val="baseline"/>
        </w:rPr>
        <w:t xml:space="preserve">De </w:t>
      </w:r>
      <w:proofErr w:type="spellStart"/>
      <w:r>
        <w:rPr>
          <w:i/>
          <w:vertAlign w:val="baseline"/>
        </w:rPr>
        <w:t>Officiis</w:t>
      </w:r>
      <w:proofErr w:type="spellEnd"/>
      <w:r>
        <w:rPr>
          <w:i/>
          <w:vertAlign w:val="baseline"/>
        </w:rPr>
        <w:t>,</w:t>
      </w:r>
      <w:r>
        <w:rPr>
          <w:vertAlign w:val="baseline"/>
        </w:rPr>
        <w:t xml:space="preserve"> is most commonly rendered, </w:t>
      </w:r>
      <w:r>
        <w:rPr>
          <w:i/>
          <w:vertAlign w:val="baseline"/>
        </w:rPr>
        <w:t>On Duties.</w:t>
      </w:r>
      <w:r>
        <w:rPr>
          <w:vertAlign w:val="baseline"/>
        </w:rPr>
        <w:t xml:space="preserve">  Such</w:t>
      </w:r>
      <w:r w:rsidR="00055ED0">
        <w:rPr>
          <w:vertAlign w:val="baseline"/>
        </w:rPr>
        <w:t xml:space="preserve"> a</w:t>
      </w:r>
      <w:r>
        <w:rPr>
          <w:vertAlign w:val="baseline"/>
        </w:rPr>
        <w:t xml:space="preserve"> </w:t>
      </w:r>
      <w:r w:rsidR="00FE2144">
        <w:rPr>
          <w:vertAlign w:val="baseline"/>
        </w:rPr>
        <w:t>translation</w:t>
      </w:r>
      <w:r>
        <w:rPr>
          <w:vertAlign w:val="baseline"/>
        </w:rPr>
        <w:t xml:space="preserve"> is not without some difficulty, however. </w:t>
      </w:r>
      <w:r w:rsidR="00BC7325">
        <w:rPr>
          <w:vertAlign w:val="baseline"/>
        </w:rPr>
        <w:t xml:space="preserve"> Cicero</w:t>
      </w:r>
      <w:r>
        <w:rPr>
          <w:vertAlign w:val="baseline"/>
        </w:rPr>
        <w:t xml:space="preserve"> modeled</w:t>
      </w:r>
      <w:r w:rsidR="00FE2144">
        <w:rPr>
          <w:vertAlign w:val="baseline"/>
        </w:rPr>
        <w:t xml:space="preserve"> his</w:t>
      </w:r>
      <w:r>
        <w:rPr>
          <w:vertAlign w:val="baseline"/>
        </w:rPr>
        <w:t xml:space="preserve"> </w:t>
      </w:r>
      <w:r>
        <w:rPr>
          <w:i/>
          <w:vertAlign w:val="baseline"/>
        </w:rPr>
        <w:t xml:space="preserve">De </w:t>
      </w:r>
      <w:proofErr w:type="spellStart"/>
      <w:r>
        <w:rPr>
          <w:i/>
          <w:vertAlign w:val="baseline"/>
        </w:rPr>
        <w:t>Officiis</w:t>
      </w:r>
      <w:proofErr w:type="spellEnd"/>
      <w:r>
        <w:rPr>
          <w:vertAlign w:val="baseline"/>
        </w:rPr>
        <w:t xml:space="preserve"> upon the Greek text</w:t>
      </w:r>
      <w:r w:rsidR="00BC7325">
        <w:rPr>
          <w:vertAlign w:val="baseline"/>
        </w:rPr>
        <w:t xml:space="preserve"> </w:t>
      </w:r>
      <w:r w:rsidR="00DC0697">
        <w:rPr>
          <w:vertAlign w:val="baseline"/>
        </w:rPr>
        <w:t xml:space="preserve">entitled, </w:t>
      </w:r>
      <w:proofErr w:type="spellStart"/>
      <w:r w:rsidR="00DC0697">
        <w:rPr>
          <w:i/>
          <w:vertAlign w:val="baseline"/>
        </w:rPr>
        <w:t>Peri</w:t>
      </w:r>
      <w:proofErr w:type="spellEnd"/>
      <w:r w:rsidR="00DC0697">
        <w:rPr>
          <w:i/>
          <w:vertAlign w:val="baseline"/>
        </w:rPr>
        <w:t xml:space="preserve"> tau </w:t>
      </w:r>
      <w:proofErr w:type="spellStart"/>
      <w:r w:rsidR="00DC0697">
        <w:rPr>
          <w:i/>
          <w:vertAlign w:val="baseline"/>
        </w:rPr>
        <w:t>kathêkontos</w:t>
      </w:r>
      <w:proofErr w:type="spellEnd"/>
      <w:r w:rsidR="00DC0697">
        <w:rPr>
          <w:i/>
          <w:vertAlign w:val="baseline"/>
        </w:rPr>
        <w:t>, “Concerning the appropriate,”</w:t>
      </w:r>
      <w:r w:rsidR="00DC0697">
        <w:rPr>
          <w:i/>
          <w:vertAlign w:val="baseline"/>
        </w:rPr>
        <w:softHyphen/>
      </w:r>
      <w:r>
        <w:rPr>
          <w:vertAlign w:val="baseline"/>
        </w:rPr>
        <w:t xml:space="preserve"> by </w:t>
      </w:r>
      <w:r w:rsidR="00500B09">
        <w:rPr>
          <w:vertAlign w:val="baseline"/>
        </w:rPr>
        <w:t xml:space="preserve">the </w:t>
      </w:r>
      <w:r>
        <w:rPr>
          <w:vertAlign w:val="baseline"/>
        </w:rPr>
        <w:t xml:space="preserve">Stoic philosopher </w:t>
      </w:r>
      <w:proofErr w:type="spellStart"/>
      <w:r>
        <w:rPr>
          <w:vertAlign w:val="baseline"/>
        </w:rPr>
        <w:t>Panaetius</w:t>
      </w:r>
      <w:proofErr w:type="spellEnd"/>
      <w:r w:rsidR="00FE2144">
        <w:rPr>
          <w:vertAlign w:val="baseline"/>
        </w:rPr>
        <w:t xml:space="preserve"> (c182-c110 B.C.).</w:t>
      </w:r>
      <w:r w:rsidR="00DC0697">
        <w:rPr>
          <w:vertAlign w:val="baseline"/>
        </w:rPr>
        <w:t xml:space="preserve">  </w:t>
      </w:r>
      <w:proofErr w:type="spellStart"/>
      <w:r w:rsidR="00DC0697">
        <w:rPr>
          <w:vertAlign w:val="baseline"/>
        </w:rPr>
        <w:t>Panaetius</w:t>
      </w:r>
      <w:proofErr w:type="spellEnd"/>
      <w:r w:rsidR="00DC0697">
        <w:rPr>
          <w:vertAlign w:val="baseline"/>
        </w:rPr>
        <w:t>’ title was the common Stoic phrase used to refer to ethical behavior.</w:t>
      </w:r>
      <w:r w:rsidR="00FE2144">
        <w:rPr>
          <w:vertAlign w:val="baseline"/>
        </w:rPr>
        <w:t xml:space="preserve">  The Greek word</w:t>
      </w:r>
      <w:r w:rsidR="00DC0697">
        <w:rPr>
          <w:vertAlign w:val="baseline"/>
        </w:rPr>
        <w:t xml:space="preserve"> from the</w:t>
      </w:r>
      <w:r w:rsidR="00BC7325">
        <w:rPr>
          <w:vertAlign w:val="baseline"/>
        </w:rPr>
        <w:t xml:space="preserve"> title</w:t>
      </w:r>
      <w:r w:rsidR="00FE2144">
        <w:rPr>
          <w:vertAlign w:val="baseline"/>
        </w:rPr>
        <w:t xml:space="preserve"> </w:t>
      </w:r>
      <w:r w:rsidR="00BC7325">
        <w:rPr>
          <w:vertAlign w:val="baseline"/>
        </w:rPr>
        <w:t xml:space="preserve">that Cicero rendered </w:t>
      </w:r>
      <w:proofErr w:type="spellStart"/>
      <w:r w:rsidR="00BC7325">
        <w:rPr>
          <w:i/>
          <w:vertAlign w:val="baseline"/>
        </w:rPr>
        <w:t>officium</w:t>
      </w:r>
      <w:proofErr w:type="spellEnd"/>
      <w:r w:rsidR="00FE2144">
        <w:rPr>
          <w:vertAlign w:val="baseline"/>
        </w:rPr>
        <w:t xml:space="preserve"> </w:t>
      </w:r>
      <w:r w:rsidR="00413461">
        <w:rPr>
          <w:vertAlign w:val="baseline"/>
        </w:rPr>
        <w:t xml:space="preserve">(or </w:t>
      </w:r>
      <w:r w:rsidR="00413461" w:rsidRPr="00413461">
        <w:rPr>
          <w:vertAlign w:val="baseline"/>
        </w:rPr>
        <w:t>duty</w:t>
      </w:r>
      <w:r w:rsidR="00413461">
        <w:rPr>
          <w:vertAlign w:val="baseline"/>
        </w:rPr>
        <w:t xml:space="preserve">) </w:t>
      </w:r>
      <w:r w:rsidR="00FE2144" w:rsidRPr="00413461">
        <w:rPr>
          <w:vertAlign w:val="baseline"/>
        </w:rPr>
        <w:t>is</w:t>
      </w:r>
      <w:r w:rsidR="00FE2144">
        <w:rPr>
          <w:vertAlign w:val="baseline"/>
        </w:rPr>
        <w:t xml:space="preserve"> </w:t>
      </w:r>
      <w:proofErr w:type="spellStart"/>
      <w:r w:rsidR="00FE2144">
        <w:rPr>
          <w:i/>
          <w:vertAlign w:val="baseline"/>
        </w:rPr>
        <w:t>Kath</w:t>
      </w:r>
      <w:r w:rsidR="00912769">
        <w:rPr>
          <w:i/>
          <w:vertAlign w:val="baseline"/>
        </w:rPr>
        <w:t>êkô</w:t>
      </w:r>
      <w:r w:rsidR="00BC7325">
        <w:rPr>
          <w:i/>
          <w:vertAlign w:val="baseline"/>
        </w:rPr>
        <w:t>n</w:t>
      </w:r>
      <w:proofErr w:type="spellEnd"/>
      <w:r w:rsidR="00016C34">
        <w:rPr>
          <w:vertAlign w:val="baseline"/>
        </w:rPr>
        <w:t xml:space="preserve">.  It is </w:t>
      </w:r>
      <w:r w:rsidR="00BC7325">
        <w:rPr>
          <w:vertAlign w:val="baseline"/>
        </w:rPr>
        <w:t xml:space="preserve">“a much broader term than ‘duty’ </w:t>
      </w:r>
      <w:r w:rsidR="00016C34">
        <w:rPr>
          <w:vertAlign w:val="baseline"/>
        </w:rPr>
        <w:t>and</w:t>
      </w:r>
      <w:r w:rsidR="00BC7325">
        <w:rPr>
          <w:vertAlign w:val="baseline"/>
        </w:rPr>
        <w:t xml:space="preserve"> can apply even to plants and animals,” for it connotes </w:t>
      </w:r>
      <w:r w:rsidR="00016C34">
        <w:rPr>
          <w:vertAlign w:val="baseline"/>
        </w:rPr>
        <w:t>action</w:t>
      </w:r>
      <w:r w:rsidR="00BC7325">
        <w:rPr>
          <w:vertAlign w:val="baseline"/>
        </w:rPr>
        <w:t xml:space="preserve"> </w:t>
      </w:r>
      <w:r w:rsidR="00F55C71">
        <w:rPr>
          <w:vertAlign w:val="baseline"/>
        </w:rPr>
        <w:t>in keeping with</w:t>
      </w:r>
      <w:r w:rsidR="00BC7325">
        <w:rPr>
          <w:vertAlign w:val="baseline"/>
        </w:rPr>
        <w:t xml:space="preserve"> </w:t>
      </w:r>
      <w:r w:rsidR="00D06817">
        <w:rPr>
          <w:vertAlign w:val="baseline"/>
        </w:rPr>
        <w:t>the nature of the acting thing</w:t>
      </w:r>
      <w:bookmarkStart w:id="0" w:name="_GoBack"/>
      <w:bookmarkEnd w:id="0"/>
      <w:r w:rsidR="00BC7325">
        <w:rPr>
          <w:vertAlign w:val="baseline"/>
        </w:rPr>
        <w:t>.</w:t>
      </w:r>
      <w:r w:rsidR="00735D62">
        <w:rPr>
          <w:vertAlign w:val="baseline"/>
        </w:rPr>
        <w:t xml:space="preserve">  Thus some </w:t>
      </w:r>
      <w:r w:rsidR="00016C34">
        <w:rPr>
          <w:vertAlign w:val="baseline"/>
        </w:rPr>
        <w:t>commentaries may</w:t>
      </w:r>
      <w:r w:rsidR="00735D62">
        <w:rPr>
          <w:vertAlign w:val="baseline"/>
        </w:rPr>
        <w:t xml:space="preserve"> </w:t>
      </w:r>
      <w:r w:rsidR="00016C34">
        <w:rPr>
          <w:vertAlign w:val="baseline"/>
        </w:rPr>
        <w:t>substitute</w:t>
      </w:r>
      <w:r w:rsidR="00735D62">
        <w:rPr>
          <w:vertAlign w:val="baseline"/>
        </w:rPr>
        <w:t xml:space="preserve"> </w:t>
      </w:r>
      <w:r w:rsidR="00016C34">
        <w:rPr>
          <w:vertAlign w:val="baseline"/>
        </w:rPr>
        <w:t xml:space="preserve">the phrase </w:t>
      </w:r>
      <w:r w:rsidR="00016C34">
        <w:rPr>
          <w:vertAlign w:val="baseline"/>
        </w:rPr>
        <w:lastRenderedPageBreak/>
        <w:t xml:space="preserve">“appropriate action” </w:t>
      </w:r>
      <w:r w:rsidR="00735D62">
        <w:rPr>
          <w:vertAlign w:val="baseline"/>
        </w:rPr>
        <w:t xml:space="preserve">for </w:t>
      </w:r>
      <w:r w:rsidR="00016C34">
        <w:rPr>
          <w:vertAlign w:val="baseline"/>
        </w:rPr>
        <w:t>the word “duty.</w:t>
      </w:r>
      <w:r w:rsidR="00735D62">
        <w:rPr>
          <w:vertAlign w:val="baseline"/>
        </w:rPr>
        <w:t>”</w:t>
      </w:r>
      <w:r w:rsidR="00735D62">
        <w:rPr>
          <w:rStyle w:val="EndnoteReference"/>
        </w:rPr>
        <w:endnoteReference w:id="3"/>
      </w:r>
      <w:r w:rsidR="00016C34">
        <w:rPr>
          <w:vertAlign w:val="baseline"/>
        </w:rPr>
        <w:t xml:space="preserve">  And yet, b</w:t>
      </w:r>
      <w:r w:rsidR="00735D62">
        <w:rPr>
          <w:vertAlign w:val="baseline"/>
        </w:rPr>
        <w:t xml:space="preserve">ecause human beings, unlike plants or animals, are moral agents, </w:t>
      </w:r>
      <w:r w:rsidR="00F55C71">
        <w:rPr>
          <w:vertAlign w:val="baseline"/>
        </w:rPr>
        <w:t>it may be</w:t>
      </w:r>
      <w:r w:rsidR="00735D62">
        <w:rPr>
          <w:vertAlign w:val="baseline"/>
        </w:rPr>
        <w:t xml:space="preserve"> </w:t>
      </w:r>
      <w:r w:rsidR="00F55C71">
        <w:rPr>
          <w:vertAlign w:val="baseline"/>
        </w:rPr>
        <w:t>better</w:t>
      </w:r>
      <w:r w:rsidR="00735D62">
        <w:rPr>
          <w:vertAlign w:val="baseline"/>
        </w:rPr>
        <w:t xml:space="preserve"> to render Cicero’s title</w:t>
      </w:r>
      <w:r w:rsidR="00C31DA1">
        <w:rPr>
          <w:vertAlign w:val="baseline"/>
        </w:rPr>
        <w:t xml:space="preserve"> with a word that carries more ethical heft, such as</w:t>
      </w:r>
      <w:r w:rsidR="00735D62">
        <w:rPr>
          <w:vertAlign w:val="baseline"/>
        </w:rPr>
        <w:t xml:space="preserve">, </w:t>
      </w:r>
      <w:r w:rsidR="00735D62">
        <w:rPr>
          <w:i/>
          <w:vertAlign w:val="baseline"/>
        </w:rPr>
        <w:t>On Obligations.</w:t>
      </w:r>
      <w:r w:rsidR="00735D62" w:rsidRPr="00D06817">
        <w:rPr>
          <w:rStyle w:val="EndnoteReference"/>
        </w:rPr>
        <w:endnoteReference w:id="4"/>
      </w:r>
      <w:r w:rsidR="00902265">
        <w:rPr>
          <w:vertAlign w:val="baseline"/>
        </w:rPr>
        <w:t xml:space="preserve">  The principal </w:t>
      </w:r>
      <w:r w:rsidR="00500B09">
        <w:rPr>
          <w:vertAlign w:val="baseline"/>
        </w:rPr>
        <w:t>aim</w:t>
      </w:r>
      <w:r w:rsidR="00902265">
        <w:rPr>
          <w:vertAlign w:val="baseline"/>
        </w:rPr>
        <w:t xml:space="preserve"> </w:t>
      </w:r>
      <w:r w:rsidR="00016C34">
        <w:rPr>
          <w:vertAlign w:val="baseline"/>
        </w:rPr>
        <w:t xml:space="preserve">of </w:t>
      </w:r>
      <w:r w:rsidR="00902265">
        <w:rPr>
          <w:vertAlign w:val="baseline"/>
        </w:rPr>
        <w:t>his</w:t>
      </w:r>
      <w:r w:rsidR="00016C34">
        <w:rPr>
          <w:vertAlign w:val="baseline"/>
        </w:rPr>
        <w:t xml:space="preserve"> title, </w:t>
      </w:r>
      <w:r w:rsidR="00902265">
        <w:rPr>
          <w:vertAlign w:val="baseline"/>
        </w:rPr>
        <w:t>it seems</w:t>
      </w:r>
      <w:r w:rsidR="00016C34">
        <w:rPr>
          <w:vertAlign w:val="baseline"/>
        </w:rPr>
        <w:t xml:space="preserve">, is to </w:t>
      </w:r>
      <w:r w:rsidR="00E95929">
        <w:rPr>
          <w:vertAlign w:val="baseline"/>
        </w:rPr>
        <w:t>broadcast the intent</w:t>
      </w:r>
      <w:r w:rsidR="00E64DD5">
        <w:rPr>
          <w:vertAlign w:val="baseline"/>
        </w:rPr>
        <w:t xml:space="preserve"> to offer</w:t>
      </w:r>
      <w:r w:rsidR="00156BC0">
        <w:rPr>
          <w:vertAlign w:val="baseline"/>
        </w:rPr>
        <w:t xml:space="preserve"> advice concerning</w:t>
      </w:r>
      <w:r w:rsidR="00016C34">
        <w:rPr>
          <w:vertAlign w:val="baseline"/>
        </w:rPr>
        <w:t xml:space="preserve"> “appropriate or fitting behavior that is directed towards virtue.”</w:t>
      </w:r>
      <w:r w:rsidR="00156BC0">
        <w:rPr>
          <w:rStyle w:val="EndnoteReference"/>
        </w:rPr>
        <w:endnoteReference w:id="5"/>
      </w:r>
    </w:p>
    <w:p w14:paraId="4134CF0F" w14:textId="4E268498" w:rsidR="00E5624B" w:rsidRDefault="00E64DD5" w:rsidP="00CB6B28">
      <w:pPr>
        <w:spacing w:line="480" w:lineRule="auto"/>
        <w:rPr>
          <w:vertAlign w:val="baseline"/>
        </w:rPr>
      </w:pPr>
      <w:r>
        <w:rPr>
          <w:vertAlign w:val="baseline"/>
        </w:rPr>
        <w:tab/>
      </w:r>
      <w:r w:rsidR="00F55C71">
        <w:rPr>
          <w:vertAlign w:val="baseline"/>
        </w:rPr>
        <w:t>Cicero</w:t>
      </w:r>
      <w:r w:rsidR="00E95929">
        <w:rPr>
          <w:vertAlign w:val="baseline"/>
        </w:rPr>
        <w:t xml:space="preserve"> </w:t>
      </w:r>
      <w:r w:rsidR="00C31DA1">
        <w:rPr>
          <w:vertAlign w:val="baseline"/>
        </w:rPr>
        <w:t>considered</w:t>
      </w:r>
      <w:r w:rsidR="00F55C71">
        <w:rPr>
          <w:vertAlign w:val="baseline"/>
        </w:rPr>
        <w:t xml:space="preserve"> life </w:t>
      </w:r>
      <w:r w:rsidR="00C31DA1">
        <w:rPr>
          <w:vertAlign w:val="baseline"/>
        </w:rPr>
        <w:t>to be</w:t>
      </w:r>
      <w:r w:rsidR="00F55C71">
        <w:rPr>
          <w:vertAlign w:val="baseline"/>
        </w:rPr>
        <w:t xml:space="preserve"> a “complex of obligations to oneself and others, in the discharge of which a man realizes the fullest potentialities of his being.”</w:t>
      </w:r>
      <w:r w:rsidR="00F55C71">
        <w:rPr>
          <w:rStyle w:val="EndnoteReference"/>
        </w:rPr>
        <w:endnoteReference w:id="6"/>
      </w:r>
      <w:r w:rsidR="00902265">
        <w:rPr>
          <w:vertAlign w:val="baseline"/>
        </w:rPr>
        <w:t xml:space="preserve">  What sorts of obligations must </w:t>
      </w:r>
      <w:r w:rsidR="00E95929">
        <w:rPr>
          <w:vertAlign w:val="baseline"/>
        </w:rPr>
        <w:t>be</w:t>
      </w:r>
      <w:r w:rsidR="00902265">
        <w:rPr>
          <w:vertAlign w:val="baseline"/>
        </w:rPr>
        <w:t xml:space="preserve"> </w:t>
      </w:r>
      <w:r w:rsidR="00E95929">
        <w:rPr>
          <w:vertAlign w:val="baseline"/>
        </w:rPr>
        <w:t>fulfilled</w:t>
      </w:r>
      <w:r w:rsidR="00902265">
        <w:rPr>
          <w:vertAlign w:val="baseline"/>
        </w:rPr>
        <w:t>?</w:t>
      </w:r>
      <w:r w:rsidR="00E95929">
        <w:rPr>
          <w:vertAlign w:val="baseline"/>
        </w:rPr>
        <w:t xml:space="preserve">  First, </w:t>
      </w:r>
      <w:r w:rsidR="00192C61">
        <w:rPr>
          <w:vertAlign w:val="baseline"/>
        </w:rPr>
        <w:t>there are the obligations</w:t>
      </w:r>
      <w:r w:rsidR="00E95929">
        <w:rPr>
          <w:vertAlign w:val="baseline"/>
        </w:rPr>
        <w:t xml:space="preserve"> of moral rectitude, that is</w:t>
      </w:r>
      <w:r w:rsidR="003E3E89">
        <w:rPr>
          <w:vertAlign w:val="baseline"/>
        </w:rPr>
        <w:t>,</w:t>
      </w:r>
      <w:r w:rsidR="00E95929">
        <w:rPr>
          <w:vertAlign w:val="baseline"/>
        </w:rPr>
        <w:t xml:space="preserve"> those things </w:t>
      </w:r>
      <w:r w:rsidR="00C31DA1">
        <w:rPr>
          <w:vertAlign w:val="baseline"/>
        </w:rPr>
        <w:t xml:space="preserve">that </w:t>
      </w:r>
      <w:r w:rsidR="00E95929">
        <w:rPr>
          <w:vertAlign w:val="baseline"/>
        </w:rPr>
        <w:t>one must do and be</w:t>
      </w:r>
      <w:r w:rsidR="00C31DA1">
        <w:rPr>
          <w:vertAlign w:val="baseline"/>
        </w:rPr>
        <w:t>come in order</w:t>
      </w:r>
      <w:r w:rsidR="00E95929">
        <w:rPr>
          <w:vertAlign w:val="baseline"/>
        </w:rPr>
        <w:t xml:space="preserve"> to conform to </w:t>
      </w:r>
      <w:r w:rsidR="003E3E89">
        <w:rPr>
          <w:vertAlign w:val="baseline"/>
        </w:rPr>
        <w:t>the ethical ideal of the good</w:t>
      </w:r>
      <w:r w:rsidR="00E95929">
        <w:rPr>
          <w:vertAlign w:val="baseline"/>
        </w:rPr>
        <w:t xml:space="preserve">.  Of course, there are other </w:t>
      </w:r>
      <w:r w:rsidR="001C2418">
        <w:rPr>
          <w:vertAlign w:val="baseline"/>
        </w:rPr>
        <w:t>demands</w:t>
      </w:r>
      <w:r w:rsidR="00CE4B03">
        <w:rPr>
          <w:vertAlign w:val="baseline"/>
        </w:rPr>
        <w:t xml:space="preserve"> </w:t>
      </w:r>
      <w:proofErr w:type="gramStart"/>
      <w:r w:rsidR="00CE4B03">
        <w:rPr>
          <w:vertAlign w:val="baseline"/>
        </w:rPr>
        <w:t>too</w:t>
      </w:r>
      <w:r w:rsidR="00E95929">
        <w:rPr>
          <w:vertAlign w:val="baseline"/>
        </w:rPr>
        <w:t>,</w:t>
      </w:r>
      <w:proofErr w:type="gramEnd"/>
      <w:r w:rsidR="00E95929">
        <w:rPr>
          <w:vertAlign w:val="baseline"/>
        </w:rPr>
        <w:t xml:space="preserve"> </w:t>
      </w:r>
      <w:r w:rsidR="00192C61">
        <w:rPr>
          <w:vertAlign w:val="baseline"/>
        </w:rPr>
        <w:t xml:space="preserve">those </w:t>
      </w:r>
      <w:r w:rsidR="00E95929">
        <w:rPr>
          <w:vertAlign w:val="baseline"/>
        </w:rPr>
        <w:t>Cicero calls the requirements of “expediency.”  These, he writes, are “those kinds of duty which have to do with the comforts of life, with the means of acquiring the things that people enjoy, with influence, and with wealth.”</w:t>
      </w:r>
      <w:r w:rsidR="00E95929">
        <w:rPr>
          <w:rStyle w:val="EndnoteReference"/>
        </w:rPr>
        <w:endnoteReference w:id="7"/>
      </w:r>
      <w:r w:rsidR="003E3E89">
        <w:rPr>
          <w:vertAlign w:val="baseline"/>
        </w:rPr>
        <w:t xml:space="preserve">  Finally, there</w:t>
      </w:r>
      <w:r w:rsidR="001C2418">
        <w:rPr>
          <w:vertAlign w:val="baseline"/>
        </w:rPr>
        <w:t xml:space="preserve"> may</w:t>
      </w:r>
      <w:r w:rsidR="003E3E89">
        <w:rPr>
          <w:vertAlign w:val="baseline"/>
        </w:rPr>
        <w:t xml:space="preserve"> emerge questions of what one ought to do when faced with an apparent conflict between the good and the expedient, between what seems right conduct and what seems profitable.</w:t>
      </w:r>
      <w:r w:rsidR="001C2418">
        <w:rPr>
          <w:vertAlign w:val="baseline"/>
        </w:rPr>
        <w:t xml:space="preserve">  In each of these categories specific duties or obligations obtain.  </w:t>
      </w:r>
      <w:r w:rsidR="00902265">
        <w:rPr>
          <w:vertAlign w:val="baseline"/>
        </w:rPr>
        <w:t>To know that which is</w:t>
      </w:r>
      <w:r w:rsidR="001C2418">
        <w:rPr>
          <w:vertAlign w:val="baseline"/>
        </w:rPr>
        <w:t xml:space="preserve"> appropriate or fitting for each category requires</w:t>
      </w:r>
      <w:r w:rsidR="00902265">
        <w:rPr>
          <w:vertAlign w:val="baseline"/>
        </w:rPr>
        <w:t xml:space="preserve">, as intimated, knowledge of the nature of the subject under consideration, viz., </w:t>
      </w:r>
      <w:proofErr w:type="gramStart"/>
      <w:r w:rsidR="00902265">
        <w:rPr>
          <w:vertAlign w:val="baseline"/>
        </w:rPr>
        <w:t>the</w:t>
      </w:r>
      <w:proofErr w:type="gramEnd"/>
      <w:r w:rsidR="00902265">
        <w:rPr>
          <w:vertAlign w:val="baseline"/>
        </w:rPr>
        <w:t xml:space="preserve"> human person.  So these questions demand answers, “What is the human pers</w:t>
      </w:r>
      <w:r w:rsidR="001C2418">
        <w:rPr>
          <w:vertAlign w:val="baseline"/>
        </w:rPr>
        <w:t>on?” or “What is human nature?”</w:t>
      </w:r>
    </w:p>
    <w:p w14:paraId="67616C83" w14:textId="4C92B7C3" w:rsidR="001C2418" w:rsidRDefault="001C2418" w:rsidP="00CB6B28">
      <w:pPr>
        <w:spacing w:line="480" w:lineRule="auto"/>
        <w:rPr>
          <w:vertAlign w:val="baseline"/>
        </w:rPr>
      </w:pPr>
      <w:r>
        <w:rPr>
          <w:vertAlign w:val="baseline"/>
        </w:rPr>
        <w:tab/>
        <w:t>These questions draw one into reflection upon those distinctly human features of our being, not those</w:t>
      </w:r>
      <w:r w:rsidR="007E19D2">
        <w:rPr>
          <w:vertAlign w:val="baseline"/>
        </w:rPr>
        <w:t xml:space="preserve"> features</w:t>
      </w:r>
      <w:r>
        <w:rPr>
          <w:vertAlign w:val="baseline"/>
        </w:rPr>
        <w:t xml:space="preserve"> merely shared with the beasts.</w:t>
      </w:r>
      <w:r w:rsidR="00792F29">
        <w:rPr>
          <w:vertAlign w:val="baseline"/>
        </w:rPr>
        <w:t xml:space="preserve">  Early in Book I of </w:t>
      </w:r>
      <w:r w:rsidR="00AA6612">
        <w:rPr>
          <w:i/>
          <w:vertAlign w:val="baseline"/>
        </w:rPr>
        <w:t xml:space="preserve">De </w:t>
      </w:r>
      <w:proofErr w:type="spellStart"/>
      <w:r w:rsidR="00AA6612">
        <w:rPr>
          <w:i/>
          <w:vertAlign w:val="baseline"/>
        </w:rPr>
        <w:t>Officiis</w:t>
      </w:r>
      <w:proofErr w:type="spellEnd"/>
      <w:r w:rsidR="00792F29">
        <w:rPr>
          <w:vertAlign w:val="baseline"/>
        </w:rPr>
        <w:t xml:space="preserve"> Cicero explicitly distinguishes human nature from that of the lower animals </w:t>
      </w:r>
      <w:r w:rsidR="00AA6612">
        <w:rPr>
          <w:vertAlign w:val="baseline"/>
        </w:rPr>
        <w:t>as he identifies those</w:t>
      </w:r>
      <w:r w:rsidR="00792F29">
        <w:rPr>
          <w:vertAlign w:val="baseline"/>
        </w:rPr>
        <w:t xml:space="preserve"> uniquely human traits</w:t>
      </w:r>
      <w:r w:rsidR="00CC6C9F">
        <w:rPr>
          <w:vertAlign w:val="baseline"/>
        </w:rPr>
        <w:t xml:space="preserve"> given by Nature</w:t>
      </w:r>
      <w:r w:rsidR="00792F29">
        <w:rPr>
          <w:vertAlign w:val="baseline"/>
        </w:rPr>
        <w:t xml:space="preserve">:  “[Man] is endowed with reason, </w:t>
      </w:r>
      <w:r w:rsidR="00792F29">
        <w:rPr>
          <w:vertAlign w:val="baseline"/>
        </w:rPr>
        <w:lastRenderedPageBreak/>
        <w:t>by which he comprehends the chain of consequences . . . understands the relation of cause to effect and of effect to cause, draws analogies, and connects and associates the present and the future.”</w:t>
      </w:r>
      <w:r w:rsidR="00792F29">
        <w:rPr>
          <w:rStyle w:val="EndnoteReference"/>
        </w:rPr>
        <w:endnoteReference w:id="8"/>
      </w:r>
      <w:r w:rsidR="00792F29">
        <w:rPr>
          <w:vertAlign w:val="baseline"/>
        </w:rPr>
        <w:t xml:space="preserve">  Further, only human beings possess “the inclination toward social intercourse”</w:t>
      </w:r>
      <w:r w:rsidR="00CC6C9F">
        <w:rPr>
          <w:vertAlign w:val="baseline"/>
        </w:rPr>
        <w:t>;</w:t>
      </w:r>
      <w:r w:rsidR="00792F29">
        <w:rPr>
          <w:vertAlign w:val="baseline"/>
        </w:rPr>
        <w:t xml:space="preserve"> for </w:t>
      </w:r>
      <w:r w:rsidR="00CC6C9F">
        <w:rPr>
          <w:vertAlign w:val="baseline"/>
        </w:rPr>
        <w:t>Nature, explains Cicero, “prompts men to meet in companies, to form public assemblies and to take part in them themselves.”</w:t>
      </w:r>
      <w:r w:rsidR="00CC6C9F">
        <w:rPr>
          <w:rStyle w:val="EndnoteReference"/>
        </w:rPr>
        <w:endnoteReference w:id="9"/>
      </w:r>
      <w:r w:rsidR="00CC6C9F">
        <w:rPr>
          <w:vertAlign w:val="baseline"/>
        </w:rPr>
        <w:t xml:space="preserve">  To th</w:t>
      </w:r>
      <w:r w:rsidR="00AA6612">
        <w:rPr>
          <w:vertAlign w:val="baseline"/>
        </w:rPr>
        <w:t>ese he adds as peculiarly human</w:t>
      </w:r>
      <w:r w:rsidR="00CC6C9F">
        <w:rPr>
          <w:vertAlign w:val="baseline"/>
        </w:rPr>
        <w:t xml:space="preserve"> “the search after truth and its eager pursuit,” a</w:t>
      </w:r>
      <w:r w:rsidR="00AA6612">
        <w:rPr>
          <w:vertAlign w:val="baseline"/>
        </w:rPr>
        <w:t>nd the resulting</w:t>
      </w:r>
      <w:r w:rsidR="00CC6C9F">
        <w:rPr>
          <w:vertAlign w:val="baseline"/>
        </w:rPr>
        <w:t xml:space="preserve"> recognition</w:t>
      </w:r>
      <w:r w:rsidR="00AA6612">
        <w:rPr>
          <w:vertAlign w:val="baseline"/>
        </w:rPr>
        <w:t xml:space="preserve"> of the eminence and advantage </w:t>
      </w:r>
      <w:r w:rsidR="00CC6C9F">
        <w:rPr>
          <w:vertAlign w:val="baseline"/>
        </w:rPr>
        <w:t>of wisdom, “greatness of soul and a sense of superiority to worldly conditions.”</w:t>
      </w:r>
      <w:r w:rsidR="00CC6C9F">
        <w:rPr>
          <w:rStyle w:val="EndnoteReference"/>
        </w:rPr>
        <w:endnoteReference w:id="10"/>
      </w:r>
      <w:r w:rsidR="00AA6612">
        <w:rPr>
          <w:vertAlign w:val="baseline"/>
        </w:rPr>
        <w:t xml:space="preserve">  He concludes his review of human nature observing that “no other animal has a sense of beauty, loveliness, harmony in the visible world; and Nature and Reason, extending the analogy of this from the world of sense to the world of spirit, find that beauty, consistency, order are far more to be maintained in thought and deed . . .”</w:t>
      </w:r>
      <w:r w:rsidR="00AA6612">
        <w:rPr>
          <w:rStyle w:val="EndnoteReference"/>
        </w:rPr>
        <w:endnoteReference w:id="11"/>
      </w:r>
    </w:p>
    <w:p w14:paraId="744E50C9" w14:textId="0CD4C717" w:rsidR="00001100" w:rsidRDefault="00AA6612" w:rsidP="00CB6B28">
      <w:pPr>
        <w:spacing w:line="480" w:lineRule="auto"/>
        <w:rPr>
          <w:vertAlign w:val="baseline"/>
        </w:rPr>
      </w:pPr>
      <w:r>
        <w:rPr>
          <w:vertAlign w:val="baseline"/>
        </w:rPr>
        <w:tab/>
        <w:t xml:space="preserve">Thus Cicero’s ethical reflection upon </w:t>
      </w:r>
      <w:r w:rsidR="00001100">
        <w:rPr>
          <w:vertAlign w:val="baseline"/>
        </w:rPr>
        <w:t xml:space="preserve">duty and moral </w:t>
      </w:r>
      <w:r>
        <w:rPr>
          <w:vertAlign w:val="baseline"/>
        </w:rPr>
        <w:t xml:space="preserve">obligation has begun with a conspectus of the </w:t>
      </w:r>
      <w:r w:rsidR="00001100">
        <w:rPr>
          <w:vertAlign w:val="baseline"/>
        </w:rPr>
        <w:t xml:space="preserve">man’s </w:t>
      </w:r>
      <w:r>
        <w:rPr>
          <w:vertAlign w:val="baseline"/>
        </w:rPr>
        <w:t>nature</w:t>
      </w:r>
      <w:r w:rsidR="0096752A">
        <w:rPr>
          <w:vertAlign w:val="baseline"/>
        </w:rPr>
        <w:t>, from which</w:t>
      </w:r>
      <w:r w:rsidR="00001100">
        <w:rPr>
          <w:vertAlign w:val="baseline"/>
        </w:rPr>
        <w:t xml:space="preserve"> he</w:t>
      </w:r>
      <w:r>
        <w:rPr>
          <w:vertAlign w:val="baseline"/>
        </w:rPr>
        <w:t xml:space="preserve"> </w:t>
      </w:r>
      <w:r w:rsidR="00001100">
        <w:rPr>
          <w:vertAlign w:val="baseline"/>
        </w:rPr>
        <w:t>derives</w:t>
      </w:r>
      <w:r>
        <w:rPr>
          <w:vertAlign w:val="baseline"/>
        </w:rPr>
        <w:t xml:space="preserve"> </w:t>
      </w:r>
      <w:r w:rsidR="00C712C1">
        <w:rPr>
          <w:vertAlign w:val="baseline"/>
        </w:rPr>
        <w:t xml:space="preserve">corresponding </w:t>
      </w:r>
      <w:r>
        <w:rPr>
          <w:vertAlign w:val="baseline"/>
        </w:rPr>
        <w:t xml:space="preserve">categories of </w:t>
      </w:r>
      <w:r w:rsidR="00001100">
        <w:rPr>
          <w:vertAlign w:val="baseline"/>
        </w:rPr>
        <w:t xml:space="preserve">uniquely human </w:t>
      </w:r>
      <w:r>
        <w:rPr>
          <w:vertAlign w:val="baseline"/>
        </w:rPr>
        <w:t>moral obligation</w:t>
      </w:r>
      <w:r w:rsidR="00001100">
        <w:rPr>
          <w:vertAlign w:val="baseline"/>
        </w:rPr>
        <w:t xml:space="preserve">, categories that correspond </w:t>
      </w:r>
      <w:r w:rsidR="00055ED0">
        <w:rPr>
          <w:vertAlign w:val="baseline"/>
        </w:rPr>
        <w:t xml:space="preserve">directly to </w:t>
      </w:r>
      <w:r w:rsidR="00001100">
        <w:rPr>
          <w:vertAlign w:val="baseline"/>
        </w:rPr>
        <w:t xml:space="preserve">the classical four cardinal virtues: </w:t>
      </w:r>
      <w:r w:rsidR="00412514">
        <w:rPr>
          <w:vertAlign w:val="baseline"/>
        </w:rPr>
        <w:t xml:space="preserve">first, </w:t>
      </w:r>
      <w:r w:rsidR="00001100">
        <w:rPr>
          <w:vertAlign w:val="baseline"/>
        </w:rPr>
        <w:t>wisdom</w:t>
      </w:r>
      <w:r w:rsidR="00C712C1">
        <w:rPr>
          <w:vertAlign w:val="baseline"/>
        </w:rPr>
        <w:t xml:space="preserve"> or prudence, then justice which is</w:t>
      </w:r>
      <w:r w:rsidR="00001100">
        <w:rPr>
          <w:vertAlign w:val="baseline"/>
        </w:rPr>
        <w:t xml:space="preserve"> “the bond and principle of civil society,</w:t>
      </w:r>
      <w:r w:rsidR="00C712C1">
        <w:rPr>
          <w:vertAlign w:val="baseline"/>
        </w:rPr>
        <w:t>” third, courage or</w:t>
      </w:r>
      <w:r w:rsidR="00001100">
        <w:rPr>
          <w:vertAlign w:val="baseline"/>
        </w:rPr>
        <w:t xml:space="preserve"> fortitude, and</w:t>
      </w:r>
      <w:r w:rsidR="00C712C1">
        <w:rPr>
          <w:vertAlign w:val="baseline"/>
        </w:rPr>
        <w:t>, finally,</w:t>
      </w:r>
      <w:r w:rsidR="00001100">
        <w:rPr>
          <w:vertAlign w:val="baseline"/>
        </w:rPr>
        <w:t xml:space="preserve"> temperance</w:t>
      </w:r>
      <w:r w:rsidR="00C712C1">
        <w:rPr>
          <w:vertAlign w:val="baseline"/>
        </w:rPr>
        <w:t xml:space="preserve"> which “prescribes a rule of decorum or propriety, [and] is characteristically defined as behavior compatible with the inherent dignity of human nature</w:t>
      </w:r>
      <w:r w:rsidR="00001100">
        <w:rPr>
          <w:vertAlign w:val="baseline"/>
        </w:rPr>
        <w:t>.</w:t>
      </w:r>
      <w:r w:rsidR="00C712C1">
        <w:rPr>
          <w:vertAlign w:val="baseline"/>
        </w:rPr>
        <w:t>”</w:t>
      </w:r>
      <w:r w:rsidR="00C712C1">
        <w:rPr>
          <w:rStyle w:val="EndnoteReference"/>
        </w:rPr>
        <w:endnoteReference w:id="12"/>
      </w:r>
      <w:r w:rsidR="00001100">
        <w:rPr>
          <w:vertAlign w:val="baseline"/>
        </w:rPr>
        <w:t xml:space="preserve">  Here is Cicero’s account:</w:t>
      </w:r>
    </w:p>
    <w:p w14:paraId="5E6C3B08" w14:textId="77777777" w:rsidR="00001100" w:rsidRDefault="00001100" w:rsidP="00CB6B28">
      <w:pPr>
        <w:spacing w:line="480" w:lineRule="auto"/>
        <w:rPr>
          <w:vertAlign w:val="baseline"/>
        </w:rPr>
      </w:pPr>
    </w:p>
    <w:p w14:paraId="32F7AEAE" w14:textId="02E2CF70" w:rsidR="00001100" w:rsidRDefault="00001100" w:rsidP="00001100">
      <w:pPr>
        <w:ind w:left="720" w:right="720"/>
        <w:rPr>
          <w:vertAlign w:val="baseline"/>
        </w:rPr>
      </w:pPr>
      <w:r>
        <w:rPr>
          <w:vertAlign w:val="baseline"/>
        </w:rPr>
        <w:t xml:space="preserve">All that is morally right rises from some one of four sources:  it is concerned either (1) with the full perception and intelligent development of the true; or (2) with the conservation of organized society, with rendering to every man his due, and with the faithful discharge of obligations assumed; or (3) with the greatness and strength of a noble and </w:t>
      </w:r>
      <w:r>
        <w:rPr>
          <w:vertAlign w:val="baseline"/>
        </w:rPr>
        <w:lastRenderedPageBreak/>
        <w:t>invincible spirit; or (4) with the orderliness and moderation of everything that is said and done, wherein consist temperance and self-control.</w:t>
      </w:r>
      <w:r>
        <w:rPr>
          <w:rStyle w:val="EndnoteReference"/>
        </w:rPr>
        <w:endnoteReference w:id="13"/>
      </w:r>
    </w:p>
    <w:p w14:paraId="29EC41DC" w14:textId="77777777" w:rsidR="00001100" w:rsidRDefault="00001100" w:rsidP="00CB6B28">
      <w:pPr>
        <w:spacing w:line="480" w:lineRule="auto"/>
        <w:rPr>
          <w:vertAlign w:val="baseline"/>
        </w:rPr>
      </w:pPr>
    </w:p>
    <w:p w14:paraId="1D7C1E93" w14:textId="77777777" w:rsidR="00001100" w:rsidRPr="00F55C71" w:rsidRDefault="00001100" w:rsidP="00CB6B28">
      <w:pPr>
        <w:spacing w:line="480" w:lineRule="auto"/>
        <w:rPr>
          <w:vertAlign w:val="baseline"/>
        </w:rPr>
      </w:pPr>
    </w:p>
    <w:p w14:paraId="37D8F83E" w14:textId="3F030BD5" w:rsidR="00B907A3" w:rsidRDefault="00412514" w:rsidP="00412514">
      <w:pPr>
        <w:spacing w:line="480" w:lineRule="auto"/>
        <w:rPr>
          <w:vertAlign w:val="baseline"/>
        </w:rPr>
      </w:pPr>
      <w:r>
        <w:rPr>
          <w:vertAlign w:val="baseline"/>
        </w:rPr>
        <w:t xml:space="preserve">As Cicero </w:t>
      </w:r>
      <w:r w:rsidR="0096752A">
        <w:rPr>
          <w:vertAlign w:val="baseline"/>
        </w:rPr>
        <w:t xml:space="preserve">proceeds to unpack </w:t>
      </w:r>
      <w:r>
        <w:rPr>
          <w:vertAlign w:val="baseline"/>
        </w:rPr>
        <w:t xml:space="preserve">the full meaning and application of these four virtues, it becomes clear why they have been called the “cardinal” virtues.  These are the “hinge” virtues, from the Latin word </w:t>
      </w:r>
      <w:proofErr w:type="spellStart"/>
      <w:r>
        <w:rPr>
          <w:i/>
          <w:vertAlign w:val="baseline"/>
        </w:rPr>
        <w:t>cardo</w:t>
      </w:r>
      <w:proofErr w:type="spellEnd"/>
      <w:r>
        <w:rPr>
          <w:i/>
          <w:vertAlign w:val="baseline"/>
        </w:rPr>
        <w:t>,</w:t>
      </w:r>
      <w:r>
        <w:rPr>
          <w:vertAlign w:val="baseline"/>
        </w:rPr>
        <w:t xml:space="preserve"> meaning hinge</w:t>
      </w:r>
      <w:r w:rsidR="005E0019">
        <w:rPr>
          <w:vertAlign w:val="baseline"/>
        </w:rPr>
        <w:t xml:space="preserve">, key, or pivot.  In short, </w:t>
      </w:r>
      <w:r>
        <w:rPr>
          <w:vertAlign w:val="baseline"/>
        </w:rPr>
        <w:t xml:space="preserve">moral excellence, </w:t>
      </w:r>
      <w:r w:rsidR="005E0019">
        <w:rPr>
          <w:vertAlign w:val="baseline"/>
        </w:rPr>
        <w:t>the capacity for</w:t>
      </w:r>
      <w:r>
        <w:rPr>
          <w:vertAlign w:val="baseline"/>
        </w:rPr>
        <w:t xml:space="preserve"> ethical flourishing acco</w:t>
      </w:r>
      <w:r w:rsidR="00055ED0">
        <w:rPr>
          <w:vertAlign w:val="baseline"/>
        </w:rPr>
        <w:t>rding to the capacities given</w:t>
      </w:r>
      <w:r w:rsidR="00B907A3" w:rsidRPr="00B907A3">
        <w:rPr>
          <w:vertAlign w:val="baseline"/>
        </w:rPr>
        <w:t xml:space="preserve"> </w:t>
      </w:r>
      <w:r w:rsidR="00B907A3">
        <w:rPr>
          <w:vertAlign w:val="baseline"/>
        </w:rPr>
        <w:t>by nature to</w:t>
      </w:r>
      <w:r>
        <w:rPr>
          <w:vertAlign w:val="baseline"/>
        </w:rPr>
        <w:t xml:space="preserve"> man, hinges or turns upon the understanding and </w:t>
      </w:r>
      <w:r w:rsidR="005E0019">
        <w:rPr>
          <w:vertAlign w:val="baseline"/>
        </w:rPr>
        <w:t>cultivation</w:t>
      </w:r>
      <w:r>
        <w:rPr>
          <w:vertAlign w:val="baseline"/>
        </w:rPr>
        <w:t xml:space="preserve"> of these four virtues, </w:t>
      </w:r>
      <w:r w:rsidR="005E0019">
        <w:rPr>
          <w:vertAlign w:val="baseline"/>
        </w:rPr>
        <w:t>the classical headwaters</w:t>
      </w:r>
      <w:r>
        <w:rPr>
          <w:vertAlign w:val="baseline"/>
        </w:rPr>
        <w:t xml:space="preserve"> of moral </w:t>
      </w:r>
      <w:r w:rsidR="005E0019">
        <w:rPr>
          <w:vertAlign w:val="baseline"/>
        </w:rPr>
        <w:t>rectitude</w:t>
      </w:r>
      <w:r>
        <w:rPr>
          <w:vertAlign w:val="baseline"/>
        </w:rPr>
        <w:t>.</w:t>
      </w:r>
    </w:p>
    <w:p w14:paraId="2A3C144F" w14:textId="74C0C9D4" w:rsidR="008F3C71" w:rsidRPr="008F3C71" w:rsidRDefault="00B907A3" w:rsidP="00412514">
      <w:pPr>
        <w:spacing w:line="480" w:lineRule="auto"/>
        <w:rPr>
          <w:vertAlign w:val="baseline"/>
        </w:rPr>
      </w:pPr>
      <w:r>
        <w:rPr>
          <w:vertAlign w:val="baseline"/>
        </w:rPr>
        <w:tab/>
        <w:t xml:space="preserve">But Cicero is not content with identification, description, and classification of these </w:t>
      </w:r>
      <w:r w:rsidR="008F3C71">
        <w:rPr>
          <w:vertAlign w:val="baseline"/>
        </w:rPr>
        <w:t xml:space="preserve">four </w:t>
      </w:r>
      <w:r>
        <w:rPr>
          <w:vertAlign w:val="baseline"/>
        </w:rPr>
        <w:t xml:space="preserve">virtues.  He explains </w:t>
      </w:r>
      <w:r w:rsidR="008F3C71">
        <w:rPr>
          <w:vertAlign w:val="baseline"/>
        </w:rPr>
        <w:t>their relations as components of honorable morality, a discussion that culm</w:t>
      </w:r>
      <w:r w:rsidR="00171017">
        <w:rPr>
          <w:vertAlign w:val="baseline"/>
        </w:rPr>
        <w:t xml:space="preserve">inates in his consideration of </w:t>
      </w:r>
      <w:r w:rsidR="008F3C71">
        <w:rPr>
          <w:i/>
          <w:vertAlign w:val="baseline"/>
        </w:rPr>
        <w:t>decorum</w:t>
      </w:r>
      <w:r w:rsidR="008F3C71">
        <w:rPr>
          <w:vertAlign w:val="baseline"/>
        </w:rPr>
        <w:t xml:space="preserve">, or “the fitting,” a </w:t>
      </w:r>
      <w:r w:rsidR="00171017">
        <w:rPr>
          <w:vertAlign w:val="baseline"/>
        </w:rPr>
        <w:t>“distinct quality that can be traced in every kind of virtue.”</w:t>
      </w:r>
      <w:r w:rsidR="000734C4">
        <w:rPr>
          <w:vertAlign w:val="baseline"/>
        </w:rPr>
        <w:t xml:space="preserve">  Cicero continues, “Ju</w:t>
      </w:r>
      <w:r w:rsidR="005E0019">
        <w:rPr>
          <w:vertAlign w:val="baseline"/>
        </w:rPr>
        <w:t>st as it is impossible to separate loveliness a</w:t>
      </w:r>
      <w:r w:rsidR="000734C4">
        <w:rPr>
          <w:vertAlign w:val="baseline"/>
        </w:rPr>
        <w:t>nd physical beauty from health s</w:t>
      </w:r>
      <w:r w:rsidR="005E0019">
        <w:rPr>
          <w:vertAlign w:val="baseline"/>
        </w:rPr>
        <w:t xml:space="preserve">o this </w:t>
      </w:r>
      <w:r w:rsidR="005E0019">
        <w:rPr>
          <w:i/>
          <w:vertAlign w:val="baseline"/>
        </w:rPr>
        <w:t>decorum</w:t>
      </w:r>
      <w:r w:rsidR="005E0019">
        <w:rPr>
          <w:vertAlign w:val="baseline"/>
        </w:rPr>
        <w:t xml:space="preserve"> that I am dis</w:t>
      </w:r>
      <w:r w:rsidR="000734C4">
        <w:rPr>
          <w:vertAlign w:val="baseline"/>
        </w:rPr>
        <w:t>c</w:t>
      </w:r>
      <w:r w:rsidR="005E0019">
        <w:rPr>
          <w:vertAlign w:val="baseline"/>
        </w:rPr>
        <w:t>ussing is thoroughly blended with virtue.”</w:t>
      </w:r>
      <w:r w:rsidR="00171017">
        <w:rPr>
          <w:rStyle w:val="EndnoteReference"/>
        </w:rPr>
        <w:endnoteReference w:id="14"/>
      </w:r>
      <w:r w:rsidR="008F3C71">
        <w:rPr>
          <w:vertAlign w:val="baseline"/>
        </w:rPr>
        <w:t xml:space="preserve"> </w:t>
      </w:r>
      <w:r w:rsidR="00171017">
        <w:rPr>
          <w:vertAlign w:val="baseline"/>
        </w:rPr>
        <w:t xml:space="preserve"> Book I </w:t>
      </w:r>
      <w:r w:rsidR="000734C4">
        <w:rPr>
          <w:vertAlign w:val="baseline"/>
        </w:rPr>
        <w:t xml:space="preserve">finally </w:t>
      </w:r>
      <w:r w:rsidR="00171017">
        <w:rPr>
          <w:vertAlign w:val="baseline"/>
        </w:rPr>
        <w:t>concludes with a comparison of the virtues and a careful consideration and prioritization of the obligations that arise from each virtue.</w:t>
      </w:r>
      <w:r w:rsidR="005E0019">
        <w:rPr>
          <w:vertAlign w:val="baseline"/>
        </w:rPr>
        <w:t xml:space="preserve">  </w:t>
      </w:r>
      <w:r w:rsidR="00171017">
        <w:rPr>
          <w:vertAlign w:val="baseline"/>
        </w:rPr>
        <w:t xml:space="preserve">What good is it, wonders </w:t>
      </w:r>
      <w:r w:rsidR="00B509F2">
        <w:rPr>
          <w:vertAlign w:val="baseline"/>
        </w:rPr>
        <w:t xml:space="preserve">Cicero, </w:t>
      </w:r>
      <w:r w:rsidR="0096752A">
        <w:rPr>
          <w:vertAlign w:val="baseline"/>
        </w:rPr>
        <w:t>were one</w:t>
      </w:r>
      <w:r w:rsidR="00B509F2">
        <w:rPr>
          <w:vertAlign w:val="baseline"/>
        </w:rPr>
        <w:t xml:space="preserve"> to possess</w:t>
      </w:r>
      <w:r w:rsidR="00171017">
        <w:rPr>
          <w:vertAlign w:val="baseline"/>
        </w:rPr>
        <w:t xml:space="preserve"> the greatest virtue of wisdom, if “no practical action were to flow from it.”</w:t>
      </w:r>
      <w:r w:rsidR="000734C4" w:rsidRPr="000734C4">
        <w:rPr>
          <w:rStyle w:val="EndnoteReference"/>
        </w:rPr>
        <w:t xml:space="preserve"> </w:t>
      </w:r>
      <w:r w:rsidR="000734C4">
        <w:rPr>
          <w:rStyle w:val="EndnoteReference"/>
        </w:rPr>
        <w:endnoteReference w:id="15"/>
      </w:r>
      <w:r w:rsidR="005E0019">
        <w:rPr>
          <w:vertAlign w:val="baseline"/>
        </w:rPr>
        <w:t xml:space="preserve">  Consequently, he is persuaded that “service is better than mere theoretical knowledge</w:t>
      </w:r>
      <w:r w:rsidR="000734C4">
        <w:rPr>
          <w:vertAlign w:val="baseline"/>
        </w:rPr>
        <w:t xml:space="preserve">” and that </w:t>
      </w:r>
      <w:r w:rsidR="007E19D2">
        <w:rPr>
          <w:vertAlign w:val="baseline"/>
        </w:rPr>
        <w:t>right action</w:t>
      </w:r>
      <w:r w:rsidR="000734C4">
        <w:rPr>
          <w:vertAlign w:val="baseline"/>
        </w:rPr>
        <w:t xml:space="preserve"> should be ranked above idle speculation.</w:t>
      </w:r>
      <w:r w:rsidR="000734C4">
        <w:rPr>
          <w:rStyle w:val="EndnoteReference"/>
        </w:rPr>
        <w:endnoteReference w:id="16"/>
      </w:r>
    </w:p>
    <w:p w14:paraId="4389DFE0" w14:textId="0A98C440" w:rsidR="00735E12" w:rsidRDefault="00B509F2" w:rsidP="00412514">
      <w:pPr>
        <w:spacing w:line="480" w:lineRule="auto"/>
        <w:rPr>
          <w:vertAlign w:val="baseline"/>
        </w:rPr>
      </w:pPr>
      <w:r>
        <w:rPr>
          <w:vertAlign w:val="baseline"/>
        </w:rPr>
        <w:tab/>
        <w:t xml:space="preserve">Following the conclusion of </w:t>
      </w:r>
      <w:r w:rsidR="0096752A">
        <w:rPr>
          <w:vertAlign w:val="baseline"/>
        </w:rPr>
        <w:t>this first and lengthiest division</w:t>
      </w:r>
      <w:r>
        <w:rPr>
          <w:vertAlign w:val="baseline"/>
        </w:rPr>
        <w:t xml:space="preserve"> of </w:t>
      </w:r>
      <w:r>
        <w:rPr>
          <w:i/>
          <w:vertAlign w:val="baseline"/>
        </w:rPr>
        <w:t xml:space="preserve">De </w:t>
      </w:r>
      <w:proofErr w:type="spellStart"/>
      <w:r>
        <w:rPr>
          <w:i/>
          <w:vertAlign w:val="baseline"/>
        </w:rPr>
        <w:t>Officiis</w:t>
      </w:r>
      <w:proofErr w:type="spellEnd"/>
      <w:r>
        <w:rPr>
          <w:i/>
          <w:vertAlign w:val="baseline"/>
        </w:rPr>
        <w:t>,</w:t>
      </w:r>
      <w:r>
        <w:rPr>
          <w:vertAlign w:val="baseline"/>
        </w:rPr>
        <w:t xml:space="preserve"> Cicero turns to his reflections</w:t>
      </w:r>
      <w:r w:rsidR="001C08B6">
        <w:rPr>
          <w:vertAlign w:val="baseline"/>
        </w:rPr>
        <w:t xml:space="preserve"> of</w:t>
      </w:r>
      <w:r w:rsidR="000734C4">
        <w:rPr>
          <w:vertAlign w:val="baseline"/>
        </w:rPr>
        <w:t xml:space="preserve"> Book II</w:t>
      </w:r>
      <w:r>
        <w:rPr>
          <w:vertAlign w:val="baseline"/>
        </w:rPr>
        <w:t xml:space="preserve"> </w:t>
      </w:r>
      <w:r w:rsidR="000734C4">
        <w:rPr>
          <w:vertAlign w:val="baseline"/>
        </w:rPr>
        <w:t>to</w:t>
      </w:r>
      <w:r>
        <w:rPr>
          <w:vertAlign w:val="baseline"/>
        </w:rPr>
        <w:t xml:space="preserve"> “expediency,” before concluding</w:t>
      </w:r>
      <w:r w:rsidR="000734C4">
        <w:rPr>
          <w:vertAlign w:val="baseline"/>
        </w:rPr>
        <w:t xml:space="preserve"> in Book III</w:t>
      </w:r>
      <w:r>
        <w:rPr>
          <w:vertAlign w:val="baseline"/>
        </w:rPr>
        <w:t xml:space="preserve"> with </w:t>
      </w:r>
      <w:r w:rsidR="001C08B6">
        <w:rPr>
          <w:vertAlign w:val="baseline"/>
        </w:rPr>
        <w:t>a final</w:t>
      </w:r>
      <w:r>
        <w:rPr>
          <w:vertAlign w:val="baseline"/>
        </w:rPr>
        <w:t xml:space="preserve"> investigation </w:t>
      </w:r>
      <w:r w:rsidR="007E19D2">
        <w:rPr>
          <w:vertAlign w:val="baseline"/>
        </w:rPr>
        <w:t>into</w:t>
      </w:r>
      <w:r>
        <w:rPr>
          <w:vertAlign w:val="baseline"/>
        </w:rPr>
        <w:t xml:space="preserve"> the apparent conflict between the good and the expedient.</w:t>
      </w:r>
      <w:r w:rsidR="000811ED">
        <w:rPr>
          <w:vertAlign w:val="baseline"/>
        </w:rPr>
        <w:t xml:space="preserve">  The </w:t>
      </w:r>
      <w:r w:rsidR="000811ED">
        <w:rPr>
          <w:vertAlign w:val="baseline"/>
        </w:rPr>
        <w:lastRenderedPageBreak/>
        <w:t>discussion of expedienc</w:t>
      </w:r>
      <w:r w:rsidR="0096752A">
        <w:rPr>
          <w:vertAlign w:val="baseline"/>
        </w:rPr>
        <w:t xml:space="preserve">y or </w:t>
      </w:r>
      <w:r w:rsidR="000811ED">
        <w:rPr>
          <w:vertAlign w:val="baseline"/>
        </w:rPr>
        <w:t>“utility” emerges from Cicero’s premise that “to succeed in life, one must win the support of one’s fellow, and for this purpose one must know the true grounds of honor and esteem among men.”</w:t>
      </w:r>
      <w:r w:rsidR="000811ED">
        <w:rPr>
          <w:rStyle w:val="EndnoteReference"/>
        </w:rPr>
        <w:endnoteReference w:id="17"/>
      </w:r>
      <w:r w:rsidR="000811ED">
        <w:rPr>
          <w:vertAlign w:val="baseline"/>
        </w:rPr>
        <w:t xml:space="preserve">  Put simply, it is useful to have the </w:t>
      </w:r>
      <w:r w:rsidR="009064CE">
        <w:rPr>
          <w:vertAlign w:val="baseline"/>
        </w:rPr>
        <w:t>support of one’s fellow me</w:t>
      </w:r>
      <w:r w:rsidR="009D7234">
        <w:rPr>
          <w:vertAlign w:val="baseline"/>
        </w:rPr>
        <w:t>n and</w:t>
      </w:r>
      <w:r w:rsidR="009064CE">
        <w:rPr>
          <w:vertAlign w:val="baseline"/>
        </w:rPr>
        <w:t>, therefore,</w:t>
      </w:r>
      <w:r w:rsidR="009D7234">
        <w:rPr>
          <w:vertAlign w:val="baseline"/>
        </w:rPr>
        <w:t xml:space="preserve"> to know</w:t>
      </w:r>
      <w:r w:rsidR="009064CE">
        <w:rPr>
          <w:vertAlign w:val="baseline"/>
        </w:rPr>
        <w:t xml:space="preserve"> what behavior works to win that support.</w:t>
      </w:r>
      <w:r w:rsidR="001C08B6">
        <w:rPr>
          <w:vertAlign w:val="baseline"/>
        </w:rPr>
        <w:t xml:space="preserve">  Such expedient behavior by which one gains support may include generosity, military exploits, eloquence in politics, fair dealings in commerce, and so on.</w:t>
      </w:r>
      <w:r w:rsidR="009064CE">
        <w:rPr>
          <w:vertAlign w:val="baseline"/>
        </w:rPr>
        <w:t xml:space="preserve">  </w:t>
      </w:r>
      <w:r w:rsidR="00284562">
        <w:rPr>
          <w:vertAlign w:val="baseline"/>
        </w:rPr>
        <w:t xml:space="preserve">Even if the overwhelming majority </w:t>
      </w:r>
      <w:r w:rsidR="007E19D2">
        <w:rPr>
          <w:vertAlign w:val="baseline"/>
        </w:rPr>
        <w:t xml:space="preserve">of </w:t>
      </w:r>
      <w:r w:rsidR="00AF7603">
        <w:rPr>
          <w:vertAlign w:val="baseline"/>
        </w:rPr>
        <w:t xml:space="preserve">actions </w:t>
      </w:r>
      <w:r w:rsidR="00735E12">
        <w:rPr>
          <w:vertAlign w:val="baseline"/>
        </w:rPr>
        <w:t xml:space="preserve">that </w:t>
      </w:r>
      <w:r w:rsidR="00A27935">
        <w:rPr>
          <w:vertAlign w:val="baseline"/>
        </w:rPr>
        <w:t>are advantageous to winning popular support</w:t>
      </w:r>
      <w:r w:rsidR="00735E12">
        <w:rPr>
          <w:vertAlign w:val="baseline"/>
        </w:rPr>
        <w:t xml:space="preserve"> are also exemplary of moral rectitude</w:t>
      </w:r>
      <w:r w:rsidR="00AF7603">
        <w:rPr>
          <w:vertAlign w:val="baseline"/>
        </w:rPr>
        <w:t xml:space="preserve">, might there also be </w:t>
      </w:r>
      <w:r w:rsidR="009064CE">
        <w:rPr>
          <w:vertAlign w:val="baseline"/>
        </w:rPr>
        <w:t xml:space="preserve">actions that work to one’s advantage, yet whose moral soundness is </w:t>
      </w:r>
      <w:r w:rsidR="003D717B">
        <w:rPr>
          <w:vertAlign w:val="baseline"/>
        </w:rPr>
        <w:t>suspect</w:t>
      </w:r>
      <w:r w:rsidR="009064CE">
        <w:rPr>
          <w:vertAlign w:val="baseline"/>
        </w:rPr>
        <w:t xml:space="preserve">? </w:t>
      </w:r>
      <w:r w:rsidR="000811ED">
        <w:rPr>
          <w:vertAlign w:val="baseline"/>
        </w:rPr>
        <w:t xml:space="preserve"> </w:t>
      </w:r>
      <w:r w:rsidR="00AF7603">
        <w:rPr>
          <w:vertAlign w:val="baseline"/>
        </w:rPr>
        <w:t xml:space="preserve">Or alternatively, might some </w:t>
      </w:r>
      <w:r w:rsidR="00284562">
        <w:rPr>
          <w:vertAlign w:val="baseline"/>
        </w:rPr>
        <w:t xml:space="preserve">genuinely </w:t>
      </w:r>
      <w:r w:rsidR="00AF7603">
        <w:rPr>
          <w:vertAlign w:val="baseline"/>
        </w:rPr>
        <w:t xml:space="preserve">moral behavior be inexpedient and void of utility?  Philosophical speculation upon these ethical questions had led many to believe </w:t>
      </w:r>
      <w:r w:rsidR="000811ED">
        <w:rPr>
          <w:vertAlign w:val="baseline"/>
        </w:rPr>
        <w:t xml:space="preserve">that </w:t>
      </w:r>
      <w:r w:rsidR="00A27935">
        <w:rPr>
          <w:vertAlign w:val="baseline"/>
        </w:rPr>
        <w:t xml:space="preserve">the </w:t>
      </w:r>
      <w:r w:rsidR="009D7234">
        <w:rPr>
          <w:vertAlign w:val="baseline"/>
        </w:rPr>
        <w:t xml:space="preserve">utility </w:t>
      </w:r>
      <w:r w:rsidR="00A27935">
        <w:rPr>
          <w:vertAlign w:val="baseline"/>
        </w:rPr>
        <w:t xml:space="preserve">of an act </w:t>
      </w:r>
      <w:r w:rsidR="00AF7603">
        <w:rPr>
          <w:vertAlign w:val="baseline"/>
        </w:rPr>
        <w:t xml:space="preserve">could be separated </w:t>
      </w:r>
      <w:r w:rsidR="009D7234">
        <w:rPr>
          <w:vertAlign w:val="baseline"/>
        </w:rPr>
        <w:t xml:space="preserve">from </w:t>
      </w:r>
      <w:r w:rsidR="00A27935">
        <w:rPr>
          <w:vertAlign w:val="baseline"/>
        </w:rPr>
        <w:t>the question of its</w:t>
      </w:r>
      <w:r w:rsidR="009D7234">
        <w:rPr>
          <w:vertAlign w:val="baseline"/>
        </w:rPr>
        <w:t xml:space="preserve"> moral rectitude.</w:t>
      </w:r>
      <w:r w:rsidR="00AF7603">
        <w:rPr>
          <w:vertAlign w:val="baseline"/>
        </w:rPr>
        <w:t xml:space="preserve"> </w:t>
      </w:r>
    </w:p>
    <w:p w14:paraId="01F2DF77" w14:textId="2D439308" w:rsidR="00E5624B" w:rsidRPr="008962FA" w:rsidRDefault="00AF7603" w:rsidP="008962FA">
      <w:pPr>
        <w:spacing w:line="480" w:lineRule="auto"/>
        <w:ind w:firstLine="720"/>
        <w:rPr>
          <w:vertAlign w:val="baseline"/>
        </w:rPr>
      </w:pPr>
      <w:r>
        <w:rPr>
          <w:vertAlign w:val="baseline"/>
        </w:rPr>
        <w:t xml:space="preserve">Cicero </w:t>
      </w:r>
      <w:r w:rsidR="00A27935">
        <w:rPr>
          <w:vertAlign w:val="baseline"/>
        </w:rPr>
        <w:t xml:space="preserve">vigorously </w:t>
      </w:r>
      <w:r w:rsidR="00284562">
        <w:rPr>
          <w:vertAlign w:val="baseline"/>
        </w:rPr>
        <w:t xml:space="preserve">opposed the idea </w:t>
      </w:r>
      <w:r w:rsidR="00A27935">
        <w:rPr>
          <w:vertAlign w:val="baseline"/>
        </w:rPr>
        <w:t>pronouncing</w:t>
      </w:r>
      <w:r w:rsidR="0045160D">
        <w:rPr>
          <w:vertAlign w:val="baseline"/>
        </w:rPr>
        <w:t>,</w:t>
      </w:r>
      <w:r w:rsidR="00284562">
        <w:rPr>
          <w:vertAlign w:val="baseline"/>
        </w:rPr>
        <w:t xml:space="preserve"> </w:t>
      </w:r>
      <w:r>
        <w:rPr>
          <w:vertAlign w:val="baseline"/>
        </w:rPr>
        <w:t>“Nothing more destructive than this can be imposed on human life.”</w:t>
      </w:r>
      <w:r>
        <w:rPr>
          <w:rStyle w:val="EndnoteReference"/>
        </w:rPr>
        <w:endnoteReference w:id="18"/>
      </w:r>
      <w:r w:rsidR="0045160D">
        <w:rPr>
          <w:vertAlign w:val="baseline"/>
        </w:rPr>
        <w:t xml:space="preserve">  He admitted that some morally questionable behavior may seem profitable, but he denounced any tendency to prioritize the apparently profitable over the honorable action.  “It is extremely shameful,” he asserted, “not only to value what seems profitable more highly than what is right conduct, but also to compare these with each other and to debate inwardly about them.”  He credited the Stoics for defending the same rule </w:t>
      </w:r>
      <w:r w:rsidR="00E51E3E">
        <w:rPr>
          <w:vertAlign w:val="baseline"/>
        </w:rPr>
        <w:t xml:space="preserve">that </w:t>
      </w:r>
      <w:r w:rsidR="0045160D">
        <w:rPr>
          <w:vertAlign w:val="baseline"/>
        </w:rPr>
        <w:t>he</w:t>
      </w:r>
      <w:r w:rsidR="00E51E3E">
        <w:rPr>
          <w:vertAlign w:val="baseline"/>
        </w:rPr>
        <w:t xml:space="preserve"> ultimately</w:t>
      </w:r>
      <w:r w:rsidR="0045160D">
        <w:rPr>
          <w:vertAlign w:val="baseline"/>
        </w:rPr>
        <w:t xml:space="preserve"> adopted, namely, “that right conduct is identical with expedient conduct and that no action whatsoever is expedient that is not also right conduct.”</w:t>
      </w:r>
      <w:r w:rsidR="0045160D">
        <w:rPr>
          <w:rStyle w:val="EndnoteReference"/>
        </w:rPr>
        <w:endnoteReference w:id="19"/>
      </w:r>
      <w:r w:rsidR="0045160D">
        <w:rPr>
          <w:vertAlign w:val="baseline"/>
        </w:rPr>
        <w:t xml:space="preserve">  </w:t>
      </w:r>
      <w:r w:rsidR="00E51E3E">
        <w:rPr>
          <w:vertAlign w:val="baseline"/>
        </w:rPr>
        <w:t>The apparent conflict between the good and the useful, was just that – apparent</w:t>
      </w:r>
      <w:r w:rsidR="008962FA">
        <w:rPr>
          <w:vertAlign w:val="baseline"/>
        </w:rPr>
        <w:t>,</w:t>
      </w:r>
      <w:r w:rsidR="00E51E3E">
        <w:rPr>
          <w:vertAlign w:val="baseline"/>
        </w:rPr>
        <w:t xml:space="preserve"> and only apparent to </w:t>
      </w:r>
      <w:r w:rsidR="008962FA">
        <w:rPr>
          <w:vertAlign w:val="baseline"/>
        </w:rPr>
        <w:t>the</w:t>
      </w:r>
      <w:r w:rsidR="00E51E3E">
        <w:rPr>
          <w:vertAlign w:val="baseline"/>
        </w:rPr>
        <w:t xml:space="preserve"> fool whose soul lacked proper ethical formation.  </w:t>
      </w:r>
      <w:r w:rsidR="0045160D">
        <w:rPr>
          <w:vertAlign w:val="baseline"/>
        </w:rPr>
        <w:t xml:space="preserve">From this </w:t>
      </w:r>
      <w:r w:rsidR="00505F79">
        <w:rPr>
          <w:vertAlign w:val="baseline"/>
        </w:rPr>
        <w:t>rule</w:t>
      </w:r>
      <w:r w:rsidR="0045160D">
        <w:rPr>
          <w:vertAlign w:val="baseline"/>
        </w:rPr>
        <w:t xml:space="preserve"> Cicero </w:t>
      </w:r>
      <w:r w:rsidR="00E51E3E">
        <w:rPr>
          <w:vertAlign w:val="baseline"/>
        </w:rPr>
        <w:t>generalized</w:t>
      </w:r>
      <w:r w:rsidR="0045160D">
        <w:rPr>
          <w:vertAlign w:val="baseline"/>
        </w:rPr>
        <w:t xml:space="preserve"> to the wider fellowship of men</w:t>
      </w:r>
      <w:r w:rsidR="00505F79">
        <w:rPr>
          <w:vertAlign w:val="baseline"/>
        </w:rPr>
        <w:t xml:space="preserve">, explaining to his son, </w:t>
      </w:r>
      <w:r w:rsidR="00505F79">
        <w:rPr>
          <w:vertAlign w:val="baseline"/>
        </w:rPr>
        <w:lastRenderedPageBreak/>
        <w:t>“We must all adhere to the principle that what is useful to the individual is identical with what is useful to the community.”</w:t>
      </w:r>
      <w:r w:rsidR="00505F79">
        <w:rPr>
          <w:rStyle w:val="EndnoteReference"/>
        </w:rPr>
        <w:endnoteReference w:id="20"/>
      </w:r>
      <w:r w:rsidR="00505F79">
        <w:rPr>
          <w:vertAlign w:val="baseline"/>
        </w:rPr>
        <w:t xml:space="preserve">  And later in Book III Cicero reinforces the moral lesson with reference to the tale of the ring of </w:t>
      </w:r>
      <w:proofErr w:type="spellStart"/>
      <w:r w:rsidR="00505F79">
        <w:rPr>
          <w:vertAlign w:val="baseline"/>
        </w:rPr>
        <w:t>Gyges</w:t>
      </w:r>
      <w:proofErr w:type="spellEnd"/>
      <w:r w:rsidR="00505F79">
        <w:rPr>
          <w:vertAlign w:val="baseline"/>
        </w:rPr>
        <w:t>.  As Plato had related the story</w:t>
      </w:r>
      <w:r w:rsidR="00E51E3E">
        <w:rPr>
          <w:vertAlign w:val="baseline"/>
        </w:rPr>
        <w:t>,</w:t>
      </w:r>
      <w:r w:rsidR="00505F79">
        <w:rPr>
          <w:vertAlign w:val="baseline"/>
        </w:rPr>
        <w:t xml:space="preserve"> the </w:t>
      </w:r>
      <w:r w:rsidR="008962FA">
        <w:rPr>
          <w:vertAlign w:val="baseline"/>
        </w:rPr>
        <w:t>ring enabled one to advance</w:t>
      </w:r>
      <w:r w:rsidR="00505F79">
        <w:rPr>
          <w:vertAlign w:val="baseline"/>
        </w:rPr>
        <w:t xml:space="preserve"> </w:t>
      </w:r>
      <w:r w:rsidR="008962FA">
        <w:rPr>
          <w:vertAlign w:val="baseline"/>
        </w:rPr>
        <w:t>politically</w:t>
      </w:r>
      <w:r w:rsidR="00505F79">
        <w:rPr>
          <w:vertAlign w:val="baseline"/>
        </w:rPr>
        <w:t xml:space="preserve"> by </w:t>
      </w:r>
      <w:r w:rsidR="008962FA">
        <w:rPr>
          <w:vertAlign w:val="baseline"/>
        </w:rPr>
        <w:t>rendering its wearer</w:t>
      </w:r>
      <w:r w:rsidR="00505F79">
        <w:rPr>
          <w:vertAlign w:val="baseline"/>
        </w:rPr>
        <w:t xml:space="preserve"> invisible </w:t>
      </w:r>
      <w:r w:rsidR="008962FA">
        <w:rPr>
          <w:vertAlign w:val="baseline"/>
        </w:rPr>
        <w:t>as he</w:t>
      </w:r>
      <w:r w:rsidR="00505F79">
        <w:rPr>
          <w:vertAlign w:val="baseline"/>
        </w:rPr>
        <w:t xml:space="preserve"> </w:t>
      </w:r>
      <w:r w:rsidR="008962FA">
        <w:rPr>
          <w:vertAlign w:val="baseline"/>
        </w:rPr>
        <w:t>committed</w:t>
      </w:r>
      <w:r w:rsidR="00505F79">
        <w:rPr>
          <w:vertAlign w:val="baseline"/>
        </w:rPr>
        <w:t xml:space="preserve"> vile immoral acts </w:t>
      </w:r>
      <w:r w:rsidR="00E51E3E">
        <w:rPr>
          <w:vertAlign w:val="baseline"/>
        </w:rPr>
        <w:t>that</w:t>
      </w:r>
      <w:r w:rsidR="00505F79">
        <w:rPr>
          <w:vertAlign w:val="baseline"/>
        </w:rPr>
        <w:t xml:space="preserve">, despite their moral bankruptcy, secured political </w:t>
      </w:r>
      <w:r w:rsidR="008962FA">
        <w:rPr>
          <w:vertAlign w:val="baseline"/>
        </w:rPr>
        <w:t>power</w:t>
      </w:r>
      <w:r w:rsidR="00505F79">
        <w:rPr>
          <w:vertAlign w:val="baseline"/>
        </w:rPr>
        <w:t>.  Cicero concludes, “The point is if a wise man had this same ring, he would not think he was any freer to do wrong than if he did not have it.  Good men seek right conduct, not conduct that has to remain concealed.”</w:t>
      </w:r>
      <w:r w:rsidR="00505F79">
        <w:rPr>
          <w:rStyle w:val="EndnoteReference"/>
        </w:rPr>
        <w:endnoteReference w:id="21"/>
      </w:r>
      <w:r w:rsidR="008962FA">
        <w:rPr>
          <w:vertAlign w:val="baseline"/>
        </w:rPr>
        <w:t xml:space="preserve">  Having “demonstrated that the useful is never found in opposition to the </w:t>
      </w:r>
      <w:proofErr w:type="spellStart"/>
      <w:r w:rsidR="008962FA">
        <w:rPr>
          <w:vertAlign w:val="baseline"/>
        </w:rPr>
        <w:t>honourable</w:t>
      </w:r>
      <w:proofErr w:type="spellEnd"/>
      <w:r w:rsidR="008962FA">
        <w:rPr>
          <w:vertAlign w:val="baseline"/>
        </w:rPr>
        <w:t xml:space="preserve">,” Cicero concludes </w:t>
      </w:r>
      <w:r w:rsidR="008962FA">
        <w:rPr>
          <w:i/>
          <w:vertAlign w:val="baseline"/>
        </w:rPr>
        <w:t xml:space="preserve">De </w:t>
      </w:r>
      <w:proofErr w:type="spellStart"/>
      <w:r w:rsidR="008962FA">
        <w:rPr>
          <w:i/>
          <w:vertAlign w:val="baseline"/>
        </w:rPr>
        <w:t>Officiis</w:t>
      </w:r>
      <w:proofErr w:type="spellEnd"/>
      <w:r w:rsidR="008962FA">
        <w:rPr>
          <w:vertAlign w:val="baseline"/>
        </w:rPr>
        <w:t xml:space="preserve"> and urges his son always to pursue </w:t>
      </w:r>
      <w:r w:rsidR="00944A4E">
        <w:rPr>
          <w:vertAlign w:val="baseline"/>
        </w:rPr>
        <w:t xml:space="preserve">the honorable over </w:t>
      </w:r>
      <w:r w:rsidR="008962FA">
        <w:rPr>
          <w:vertAlign w:val="baseline"/>
        </w:rPr>
        <w:t>pleasure.</w:t>
      </w:r>
      <w:r w:rsidR="008962FA">
        <w:rPr>
          <w:rStyle w:val="EndnoteReference"/>
        </w:rPr>
        <w:endnoteReference w:id="22"/>
      </w:r>
    </w:p>
    <w:p w14:paraId="67FA5C70" w14:textId="17F4B678" w:rsidR="00043193" w:rsidRDefault="00944A4E" w:rsidP="00412514">
      <w:pPr>
        <w:spacing w:line="480" w:lineRule="auto"/>
        <w:rPr>
          <w:vertAlign w:val="baseline"/>
        </w:rPr>
      </w:pPr>
      <w:r>
        <w:rPr>
          <w:vertAlign w:val="baseline"/>
        </w:rPr>
        <w:tab/>
        <w:t xml:space="preserve">In </w:t>
      </w:r>
      <w:r>
        <w:rPr>
          <w:i/>
          <w:vertAlign w:val="baseline"/>
        </w:rPr>
        <w:t xml:space="preserve">De </w:t>
      </w:r>
      <w:proofErr w:type="spellStart"/>
      <w:r>
        <w:rPr>
          <w:i/>
          <w:vertAlign w:val="baseline"/>
        </w:rPr>
        <w:t>Officiis</w:t>
      </w:r>
      <w:proofErr w:type="spellEnd"/>
      <w:r>
        <w:rPr>
          <w:i/>
          <w:vertAlign w:val="baseline"/>
        </w:rPr>
        <w:t xml:space="preserve">, </w:t>
      </w:r>
      <w:r>
        <w:rPr>
          <w:vertAlign w:val="baseline"/>
        </w:rPr>
        <w:t xml:space="preserve">Cicero presented his son with a manual for ordering the soul.  The disordered soul is governed by desires and passions.  The ordered soul, governed by a principle of justice and rectitude, renders to the appetites </w:t>
      </w:r>
      <w:r w:rsidR="00A92910">
        <w:rPr>
          <w:vertAlign w:val="baseline"/>
        </w:rPr>
        <w:t xml:space="preserve">only their </w:t>
      </w:r>
      <w:r>
        <w:rPr>
          <w:vertAlign w:val="baseline"/>
        </w:rPr>
        <w:t>due</w:t>
      </w:r>
      <w:r w:rsidR="00A92910">
        <w:rPr>
          <w:vertAlign w:val="baseline"/>
        </w:rPr>
        <w:t>, no more</w:t>
      </w:r>
      <w:r>
        <w:rPr>
          <w:vertAlign w:val="baseline"/>
        </w:rPr>
        <w:t>.  Offering a guided tour of the</w:t>
      </w:r>
      <w:r w:rsidR="007C55F3">
        <w:rPr>
          <w:vertAlign w:val="baseline"/>
        </w:rPr>
        <w:t xml:space="preserve"> </w:t>
      </w:r>
      <w:r w:rsidR="00A92910">
        <w:rPr>
          <w:vertAlign w:val="baseline"/>
        </w:rPr>
        <w:t>contours and features</w:t>
      </w:r>
      <w:r w:rsidR="007C55F3">
        <w:rPr>
          <w:vertAlign w:val="baseline"/>
        </w:rPr>
        <w:t xml:space="preserve"> of human nature, </w:t>
      </w:r>
      <w:r w:rsidR="00A92910">
        <w:rPr>
          <w:vertAlign w:val="baseline"/>
        </w:rPr>
        <w:t>a thorough survey of</w:t>
      </w:r>
      <w:r w:rsidR="007C55F3">
        <w:rPr>
          <w:vertAlign w:val="baseline"/>
        </w:rPr>
        <w:t xml:space="preserve"> the</w:t>
      </w:r>
      <w:r>
        <w:rPr>
          <w:vertAlign w:val="baseline"/>
        </w:rPr>
        <w:t xml:space="preserve"> cardinal virtues, an explanation of their utility for individual and community good, and </w:t>
      </w:r>
      <w:r w:rsidR="00043193">
        <w:rPr>
          <w:vertAlign w:val="baseline"/>
        </w:rPr>
        <w:t>illustrating</w:t>
      </w:r>
      <w:r>
        <w:rPr>
          <w:vertAlign w:val="baseline"/>
        </w:rPr>
        <w:t xml:space="preserve"> how all that possesses decorum will be both honorable and useful, Cicero dismantles the contention that there can ever be a conflict between</w:t>
      </w:r>
      <w:r w:rsidR="00F25D4C">
        <w:rPr>
          <w:vertAlign w:val="baseline"/>
        </w:rPr>
        <w:t xml:space="preserve"> the honorable and the useful.</w:t>
      </w:r>
      <w:r w:rsidR="00043193">
        <w:rPr>
          <w:vertAlign w:val="baseline"/>
        </w:rPr>
        <w:t xml:space="preserve">  As a manual of ethics, </w:t>
      </w:r>
      <w:r w:rsidR="00043193">
        <w:rPr>
          <w:i/>
          <w:vertAlign w:val="baseline"/>
        </w:rPr>
        <w:t xml:space="preserve">De </w:t>
      </w:r>
      <w:proofErr w:type="spellStart"/>
      <w:r w:rsidR="00043193">
        <w:rPr>
          <w:i/>
          <w:vertAlign w:val="baseline"/>
        </w:rPr>
        <w:t>Officiis</w:t>
      </w:r>
      <w:proofErr w:type="spellEnd"/>
      <w:r w:rsidR="00043193">
        <w:rPr>
          <w:vertAlign w:val="baseline"/>
        </w:rPr>
        <w:t xml:space="preserve"> reads like a Roman treatise whose themes are ready to be pressed into service of</w:t>
      </w:r>
      <w:r w:rsidR="00F25D4C">
        <w:rPr>
          <w:vertAlign w:val="baseline"/>
        </w:rPr>
        <w:t xml:space="preserve"> </w:t>
      </w:r>
      <w:r w:rsidR="00043193">
        <w:rPr>
          <w:vertAlign w:val="baseline"/>
        </w:rPr>
        <w:t xml:space="preserve">Christian moral teaching. </w:t>
      </w:r>
      <w:r w:rsidR="00F25D4C">
        <w:rPr>
          <w:vertAlign w:val="baseline"/>
        </w:rPr>
        <w:t xml:space="preserve"> Consequently, there should be little surprise that </w:t>
      </w:r>
      <w:r w:rsidR="00043193">
        <w:rPr>
          <w:vertAlign w:val="baseline"/>
        </w:rPr>
        <w:t>these ethical reflections from the</w:t>
      </w:r>
      <w:r w:rsidR="00F25D4C">
        <w:rPr>
          <w:vertAlign w:val="baseline"/>
        </w:rPr>
        <w:t xml:space="preserve"> pagan statesman</w:t>
      </w:r>
      <w:r w:rsidR="007E19D2">
        <w:rPr>
          <w:vertAlign w:val="baseline"/>
        </w:rPr>
        <w:t>-philosopher</w:t>
      </w:r>
      <w:r w:rsidR="00F25D4C">
        <w:rPr>
          <w:vertAlign w:val="baseline"/>
        </w:rPr>
        <w:t xml:space="preserve"> resonated so well among both secular and Christian audiences.</w:t>
      </w:r>
    </w:p>
    <w:p w14:paraId="6DDDEB11" w14:textId="77777777" w:rsidR="00043193" w:rsidRDefault="00043193" w:rsidP="00043193">
      <w:pPr>
        <w:spacing w:line="480" w:lineRule="auto"/>
        <w:ind w:firstLine="720"/>
        <w:rPr>
          <w:vertAlign w:val="baseline"/>
        </w:rPr>
      </w:pPr>
      <w:r>
        <w:rPr>
          <w:vertAlign w:val="baseline"/>
        </w:rPr>
        <w:t xml:space="preserve">Of course, this consonance with Christian ethics did not mean that Cicero and </w:t>
      </w:r>
      <w:proofErr w:type="spellStart"/>
      <w:r>
        <w:rPr>
          <w:vertAlign w:val="baseline"/>
        </w:rPr>
        <w:t>Ciceronianism</w:t>
      </w:r>
      <w:proofErr w:type="spellEnd"/>
      <w:r>
        <w:rPr>
          <w:vertAlign w:val="baseline"/>
        </w:rPr>
        <w:t xml:space="preserve"> would meet with uniform approbation across the history of Christendom.</w:t>
      </w:r>
      <w:r>
        <w:rPr>
          <w:rStyle w:val="EndnoteReference"/>
        </w:rPr>
        <w:endnoteReference w:id="23"/>
      </w:r>
      <w:r>
        <w:rPr>
          <w:vertAlign w:val="baseline"/>
        </w:rPr>
        <w:t xml:space="preserve">  </w:t>
      </w:r>
      <w:r>
        <w:rPr>
          <w:vertAlign w:val="baseline"/>
        </w:rPr>
        <w:lastRenderedPageBreak/>
        <w:t>Indeed,</w:t>
      </w:r>
      <w:r w:rsidR="00F25D4C">
        <w:rPr>
          <w:vertAlign w:val="baseline"/>
        </w:rPr>
        <w:t xml:space="preserve"> early Christians mustered reasons </w:t>
      </w:r>
      <w:r w:rsidR="00D8575E">
        <w:rPr>
          <w:vertAlign w:val="baseline"/>
        </w:rPr>
        <w:t>for</w:t>
      </w:r>
      <w:r w:rsidR="00F25D4C">
        <w:rPr>
          <w:vertAlign w:val="baseline"/>
        </w:rPr>
        <w:t xml:space="preserve"> skepticism about the value of pagan learning, and some</w:t>
      </w:r>
      <w:r w:rsidR="00BD75B1">
        <w:rPr>
          <w:vertAlign w:val="baseline"/>
        </w:rPr>
        <w:t>,</w:t>
      </w:r>
      <w:r w:rsidR="00F25D4C">
        <w:rPr>
          <w:vertAlign w:val="baseline"/>
        </w:rPr>
        <w:t xml:space="preserve"> </w:t>
      </w:r>
      <w:r w:rsidR="00BD75B1">
        <w:rPr>
          <w:vertAlign w:val="baseline"/>
        </w:rPr>
        <w:t xml:space="preserve">like Tertullian (c. 160 – c. 220), suggested that pre-Christian </w:t>
      </w:r>
      <w:r>
        <w:rPr>
          <w:vertAlign w:val="baseline"/>
        </w:rPr>
        <w:t>philosophy bred heresy.  Before long, however,</w:t>
      </w:r>
      <w:r w:rsidR="00E71972">
        <w:rPr>
          <w:vertAlign w:val="baseline"/>
        </w:rPr>
        <w:t xml:space="preserve"> Christians demonstrated genuine openness and appreciation for the pagan intellectual tradition.  </w:t>
      </w:r>
      <w:r w:rsidR="00BD75B1">
        <w:rPr>
          <w:vertAlign w:val="baseline"/>
        </w:rPr>
        <w:t>Clement</w:t>
      </w:r>
      <w:r w:rsidR="00E71972">
        <w:rPr>
          <w:vertAlign w:val="baseline"/>
        </w:rPr>
        <w:t xml:space="preserve"> of Alexandria (c.150 – c. 200)</w:t>
      </w:r>
      <w:r w:rsidR="00BD75B1">
        <w:rPr>
          <w:vertAlign w:val="baseline"/>
        </w:rPr>
        <w:t xml:space="preserve"> regarded </w:t>
      </w:r>
      <w:r w:rsidR="00FC12F8">
        <w:rPr>
          <w:vertAlign w:val="baseline"/>
        </w:rPr>
        <w:t>much</w:t>
      </w:r>
      <w:r w:rsidR="00BD75B1">
        <w:rPr>
          <w:vertAlign w:val="baseline"/>
        </w:rPr>
        <w:t xml:space="preserve"> secular learning as “conducive to piety,” since all Truth was God’s Truth, whatever its human source.</w:t>
      </w:r>
      <w:r w:rsidR="00D8575E">
        <w:rPr>
          <w:vertAlign w:val="baseline"/>
        </w:rPr>
        <w:t xml:space="preserve">  Augustine (c. 354 – c. 430) famously explained that “all branches of heathen learning</w:t>
      </w:r>
      <w:r w:rsidR="00FC12F8">
        <w:rPr>
          <w:vertAlign w:val="baseline"/>
        </w:rPr>
        <w:t xml:space="preserve"> . . . contain liberal instruction” which “we must take and turn to a Christian use,” comparing his </w:t>
      </w:r>
      <w:r w:rsidR="00255A91">
        <w:rPr>
          <w:vertAlign w:val="baseline"/>
        </w:rPr>
        <w:t xml:space="preserve">own </w:t>
      </w:r>
      <w:r w:rsidR="00FC12F8">
        <w:rPr>
          <w:vertAlign w:val="baseline"/>
        </w:rPr>
        <w:t xml:space="preserve">appropriation of Greco-Roman philosophy to the plundering of Egyptian gold and silver by the fleeing </w:t>
      </w:r>
      <w:r w:rsidR="00255A91">
        <w:rPr>
          <w:vertAlign w:val="baseline"/>
        </w:rPr>
        <w:t>Israelites</w:t>
      </w:r>
      <w:r>
        <w:rPr>
          <w:vertAlign w:val="baseline"/>
        </w:rPr>
        <w:t>.</w:t>
      </w:r>
    </w:p>
    <w:p w14:paraId="451196BF" w14:textId="0CECC44A" w:rsidR="00F25D4C" w:rsidRPr="00BA097C" w:rsidRDefault="00043193" w:rsidP="00043193">
      <w:pPr>
        <w:spacing w:line="480" w:lineRule="auto"/>
        <w:ind w:firstLine="720"/>
        <w:rPr>
          <w:vertAlign w:val="baseline"/>
        </w:rPr>
      </w:pPr>
      <w:r>
        <w:rPr>
          <w:vertAlign w:val="baseline"/>
        </w:rPr>
        <w:t xml:space="preserve">It was in this spirit, </w:t>
      </w:r>
      <w:r w:rsidR="00FC12F8">
        <w:rPr>
          <w:vertAlign w:val="baseline"/>
        </w:rPr>
        <w:t>d</w:t>
      </w:r>
      <w:r w:rsidR="00BD75B1">
        <w:rPr>
          <w:vertAlign w:val="baseline"/>
        </w:rPr>
        <w:t>espite its Stoic influences and non-Christian source,</w:t>
      </w:r>
      <w:r>
        <w:rPr>
          <w:vertAlign w:val="baseline"/>
        </w:rPr>
        <w:t xml:space="preserve"> that</w:t>
      </w:r>
      <w:r w:rsidR="00BD75B1">
        <w:rPr>
          <w:vertAlign w:val="baseline"/>
        </w:rPr>
        <w:t xml:space="preserve"> </w:t>
      </w:r>
      <w:r w:rsidR="00BD75B1">
        <w:rPr>
          <w:i/>
          <w:vertAlign w:val="baseline"/>
        </w:rPr>
        <w:t xml:space="preserve">De </w:t>
      </w:r>
      <w:proofErr w:type="spellStart"/>
      <w:r w:rsidR="00BD75B1">
        <w:rPr>
          <w:i/>
          <w:vertAlign w:val="baseline"/>
        </w:rPr>
        <w:t>Officiis</w:t>
      </w:r>
      <w:proofErr w:type="spellEnd"/>
      <w:r w:rsidR="00BD75B1">
        <w:rPr>
          <w:vertAlign w:val="baseline"/>
        </w:rPr>
        <w:t xml:space="preserve"> </w:t>
      </w:r>
      <w:r>
        <w:rPr>
          <w:vertAlign w:val="baseline"/>
        </w:rPr>
        <w:t>would find</w:t>
      </w:r>
      <w:r w:rsidR="00BD75B1">
        <w:rPr>
          <w:vertAlign w:val="baseline"/>
        </w:rPr>
        <w:t xml:space="preserve"> itself wrapped in </w:t>
      </w:r>
      <w:r w:rsidR="00FC12F8">
        <w:rPr>
          <w:vertAlign w:val="baseline"/>
        </w:rPr>
        <w:t>the</w:t>
      </w:r>
      <w:r w:rsidR="00BD75B1">
        <w:rPr>
          <w:vertAlign w:val="baseline"/>
        </w:rPr>
        <w:t xml:space="preserve"> ecumenical embrace </w:t>
      </w:r>
      <w:r w:rsidR="00FC12F8">
        <w:rPr>
          <w:vertAlign w:val="baseline"/>
        </w:rPr>
        <w:t xml:space="preserve">of key </w:t>
      </w:r>
      <w:r w:rsidR="00BD75B1">
        <w:rPr>
          <w:vertAlign w:val="baseline"/>
        </w:rPr>
        <w:t>Christian leaders</w:t>
      </w:r>
      <w:r w:rsidR="007E19D2">
        <w:rPr>
          <w:vertAlign w:val="baseline"/>
        </w:rPr>
        <w:t xml:space="preserve"> for centurie</w:t>
      </w:r>
      <w:r>
        <w:rPr>
          <w:vertAlign w:val="baseline"/>
        </w:rPr>
        <w:t>s</w:t>
      </w:r>
      <w:r w:rsidR="00BD75B1">
        <w:rPr>
          <w:vertAlign w:val="baseline"/>
        </w:rPr>
        <w:t>.</w:t>
      </w:r>
      <w:r w:rsidR="00BA097C">
        <w:rPr>
          <w:rStyle w:val="EndnoteReference"/>
        </w:rPr>
        <w:endnoteReference w:id="24"/>
      </w:r>
      <w:r w:rsidR="00FC12F8">
        <w:rPr>
          <w:vertAlign w:val="baseline"/>
        </w:rPr>
        <w:t xml:space="preserve">  </w:t>
      </w:r>
      <w:proofErr w:type="spellStart"/>
      <w:r w:rsidR="00FC12F8">
        <w:rPr>
          <w:vertAlign w:val="baseline"/>
        </w:rPr>
        <w:t>Lactantius</w:t>
      </w:r>
      <w:proofErr w:type="spellEnd"/>
      <w:r w:rsidR="00FC12F8">
        <w:rPr>
          <w:vertAlign w:val="baseline"/>
        </w:rPr>
        <w:t xml:space="preserve"> (</w:t>
      </w:r>
      <w:r w:rsidR="00255A91">
        <w:rPr>
          <w:vertAlign w:val="baseline"/>
        </w:rPr>
        <w:t xml:space="preserve">c. 240-320) was the first Christian author to see value for the Church in Cicero’s text, citing </w:t>
      </w:r>
      <w:r w:rsidR="007E19D2">
        <w:rPr>
          <w:i/>
          <w:vertAlign w:val="baseline"/>
        </w:rPr>
        <w:t xml:space="preserve">De </w:t>
      </w:r>
      <w:proofErr w:type="spellStart"/>
      <w:r w:rsidR="007E19D2">
        <w:rPr>
          <w:i/>
          <w:vertAlign w:val="baseline"/>
        </w:rPr>
        <w:t>Officiis</w:t>
      </w:r>
      <w:proofErr w:type="spellEnd"/>
      <w:r w:rsidR="00255A91">
        <w:rPr>
          <w:vertAlign w:val="baseline"/>
        </w:rPr>
        <w:t xml:space="preserve"> no fewer than forty-two times in his apologetic work, </w:t>
      </w:r>
      <w:r w:rsidR="00255A91">
        <w:rPr>
          <w:i/>
          <w:vertAlign w:val="baseline"/>
        </w:rPr>
        <w:t>Divine Institutes.</w:t>
      </w:r>
      <w:r w:rsidR="00255A91">
        <w:rPr>
          <w:rStyle w:val="EndnoteReference"/>
          <w:i/>
        </w:rPr>
        <w:endnoteReference w:id="25"/>
      </w:r>
      <w:r w:rsidR="00255A91">
        <w:rPr>
          <w:vertAlign w:val="baseline"/>
        </w:rPr>
        <w:t xml:space="preserve">  Ambrose (339-397) </w:t>
      </w:r>
      <w:r w:rsidR="004E652A">
        <w:rPr>
          <w:vertAlign w:val="baseline"/>
        </w:rPr>
        <w:t>adopted</w:t>
      </w:r>
      <w:r w:rsidR="00255A91">
        <w:rPr>
          <w:vertAlign w:val="baseline"/>
        </w:rPr>
        <w:t xml:space="preserve"> Cicero’s </w:t>
      </w:r>
      <w:r w:rsidR="00D910A4">
        <w:rPr>
          <w:vertAlign w:val="baseline"/>
        </w:rPr>
        <w:t>text</w:t>
      </w:r>
      <w:r w:rsidR="00255A91">
        <w:rPr>
          <w:vertAlign w:val="baseline"/>
        </w:rPr>
        <w:t xml:space="preserve"> as the model for his </w:t>
      </w:r>
      <w:r w:rsidR="004E652A">
        <w:rPr>
          <w:vertAlign w:val="baseline"/>
        </w:rPr>
        <w:t xml:space="preserve">own </w:t>
      </w:r>
      <w:r w:rsidR="00255A91">
        <w:rPr>
          <w:vertAlign w:val="baseline"/>
        </w:rPr>
        <w:t xml:space="preserve">Christian ethical manual by the same title.  </w:t>
      </w:r>
      <w:r w:rsidR="004E652A">
        <w:rPr>
          <w:vertAlign w:val="baseline"/>
        </w:rPr>
        <w:t xml:space="preserve">St. </w:t>
      </w:r>
      <w:r w:rsidR="00255A91">
        <w:rPr>
          <w:vertAlign w:val="baseline"/>
        </w:rPr>
        <w:t>Jerome (347-420)</w:t>
      </w:r>
      <w:r w:rsidR="004E652A">
        <w:rPr>
          <w:vertAlign w:val="baseline"/>
        </w:rPr>
        <w:t xml:space="preserve"> was so taken by Cicero’s words that he heard the voice of God issue the judgment, “Thou art not a Christian, but a Ciceronian.”  The list of Cicero’s Christian fans is easily extended.  Boethius, Venerable Bede, Alcuin of York, </w:t>
      </w:r>
      <w:proofErr w:type="spellStart"/>
      <w:r w:rsidR="004E652A">
        <w:rPr>
          <w:vertAlign w:val="baseline"/>
        </w:rPr>
        <w:t>Einhard</w:t>
      </w:r>
      <w:proofErr w:type="spellEnd"/>
      <w:r w:rsidR="004E652A">
        <w:rPr>
          <w:vertAlign w:val="baseline"/>
        </w:rPr>
        <w:t>, and Dante all engaged approvingly with Cicero’s work.</w:t>
      </w:r>
      <w:r w:rsidR="004E652A">
        <w:rPr>
          <w:rStyle w:val="EndnoteReference"/>
        </w:rPr>
        <w:endnoteReference w:id="26"/>
      </w:r>
      <w:r w:rsidR="004E652A">
        <w:rPr>
          <w:vertAlign w:val="baseline"/>
        </w:rPr>
        <w:t xml:space="preserve">  The Italian Renaissance</w:t>
      </w:r>
      <w:r w:rsidR="00204F19">
        <w:rPr>
          <w:vertAlign w:val="baseline"/>
        </w:rPr>
        <w:t xml:space="preserve"> saw Cicero’s influen</w:t>
      </w:r>
      <w:r w:rsidR="00347EF1">
        <w:rPr>
          <w:vertAlign w:val="baseline"/>
        </w:rPr>
        <w:t>ce enter “its most glorious era,</w:t>
      </w:r>
      <w:r w:rsidR="00204F19">
        <w:rPr>
          <w:vertAlign w:val="baseline"/>
        </w:rPr>
        <w:t>”</w:t>
      </w:r>
      <w:r w:rsidR="00347EF1">
        <w:rPr>
          <w:vertAlign w:val="baseline"/>
        </w:rPr>
        <w:t xml:space="preserve"> despite such notable repudiation of Ciceronian ethics as that proffered by Machiavelli’s </w:t>
      </w:r>
      <w:r w:rsidR="00347EF1">
        <w:rPr>
          <w:i/>
          <w:vertAlign w:val="baseline"/>
        </w:rPr>
        <w:t>The Prince.</w:t>
      </w:r>
      <w:r w:rsidR="00204F19">
        <w:rPr>
          <w:rStyle w:val="EndnoteReference"/>
        </w:rPr>
        <w:endnoteReference w:id="27"/>
      </w:r>
      <w:r w:rsidR="00204F19">
        <w:rPr>
          <w:vertAlign w:val="baseline"/>
        </w:rPr>
        <w:t xml:space="preserve">  Consider, for example, Petrarch (1304-1374) who confessed, “I admire Cicero as much or even more than all whoever wrote a line in any </w:t>
      </w:r>
      <w:proofErr w:type="gramStart"/>
      <w:r w:rsidR="00204F19">
        <w:rPr>
          <w:vertAlign w:val="baseline"/>
        </w:rPr>
        <w:t>nation.</w:t>
      </w:r>
      <w:proofErr w:type="gramEnd"/>
      <w:r w:rsidR="00204F19">
        <w:rPr>
          <w:vertAlign w:val="baseline"/>
        </w:rPr>
        <w:t xml:space="preserve"> . . . If to admire Cicero means to be a Ciceronian, I am a </w:t>
      </w:r>
      <w:proofErr w:type="gramStart"/>
      <w:r w:rsidR="00204F19">
        <w:rPr>
          <w:vertAlign w:val="baseline"/>
        </w:rPr>
        <w:t>Ciceronian.</w:t>
      </w:r>
      <w:proofErr w:type="gramEnd"/>
      <w:r w:rsidR="00204F19">
        <w:rPr>
          <w:vertAlign w:val="baseline"/>
        </w:rPr>
        <w:t xml:space="preserve"> . . However, when we </w:t>
      </w:r>
      <w:r w:rsidR="00204F19">
        <w:rPr>
          <w:vertAlign w:val="baseline"/>
        </w:rPr>
        <w:lastRenderedPageBreak/>
        <w:t>come to think or speak of religion . . . I am certainly not a Ciceronian, or a Platonist, but a Christian.  I even feel sure that Cicero himself would have been a Christian if he had been able to see Christ and to comprehend his doctrine.”</w:t>
      </w:r>
      <w:r w:rsidR="00204F19">
        <w:rPr>
          <w:rStyle w:val="EndnoteReference"/>
        </w:rPr>
        <w:endnoteReference w:id="28"/>
      </w:r>
      <w:r w:rsidR="00A740FD">
        <w:rPr>
          <w:vertAlign w:val="baseline"/>
        </w:rPr>
        <w:t xml:space="preserve">  Erasmus (1466-1536) thought Cicero’s speech seemed more Christian than pagan and challenged young people to commit his work to memory because, he </w:t>
      </w:r>
      <w:r w:rsidR="00A92910">
        <w:rPr>
          <w:vertAlign w:val="baseline"/>
        </w:rPr>
        <w:t>proclaimed</w:t>
      </w:r>
      <w:r w:rsidR="00A740FD">
        <w:rPr>
          <w:vertAlign w:val="baseline"/>
        </w:rPr>
        <w:t>, “reading Cicero makes us better human beings.”</w:t>
      </w:r>
      <w:r w:rsidR="00A740FD">
        <w:rPr>
          <w:rStyle w:val="EndnoteReference"/>
        </w:rPr>
        <w:endnoteReference w:id="29"/>
      </w:r>
      <w:r w:rsidR="00A92910">
        <w:rPr>
          <w:vertAlign w:val="baseline"/>
        </w:rPr>
        <w:t xml:space="preserve">  Melanchthon (1497-1560), author of the Augsburg Confession and widely regarded as the principal force behind the</w:t>
      </w:r>
      <w:r w:rsidR="00347EF1">
        <w:rPr>
          <w:vertAlign w:val="baseline"/>
        </w:rPr>
        <w:t xml:space="preserve"> early modern</w:t>
      </w:r>
      <w:r w:rsidR="00A92910">
        <w:rPr>
          <w:vertAlign w:val="baseline"/>
        </w:rPr>
        <w:t xml:space="preserve"> revival of classical liberal learning across Europe, issued his own edition of </w:t>
      </w:r>
      <w:r w:rsidR="00A92910">
        <w:rPr>
          <w:i/>
          <w:vertAlign w:val="baseline"/>
        </w:rPr>
        <w:t xml:space="preserve">De </w:t>
      </w:r>
      <w:proofErr w:type="spellStart"/>
      <w:r w:rsidR="00A92910">
        <w:rPr>
          <w:i/>
          <w:vertAlign w:val="baseline"/>
        </w:rPr>
        <w:t>Officiis</w:t>
      </w:r>
      <w:proofErr w:type="spellEnd"/>
      <w:r w:rsidR="00A92910">
        <w:rPr>
          <w:vertAlign w:val="baseline"/>
        </w:rPr>
        <w:t xml:space="preserve"> as he made Cicero the backbone of his university Latin curriculum.</w:t>
      </w:r>
      <w:r w:rsidR="00A92910">
        <w:rPr>
          <w:rStyle w:val="EndnoteReference"/>
        </w:rPr>
        <w:endnoteReference w:id="30"/>
      </w:r>
      <w:r w:rsidR="00BA097C">
        <w:rPr>
          <w:vertAlign w:val="baseline"/>
        </w:rPr>
        <w:t xml:space="preserve">  </w:t>
      </w:r>
      <w:r w:rsidR="00C3508F">
        <w:rPr>
          <w:vertAlign w:val="baseline"/>
        </w:rPr>
        <w:t>His</w:t>
      </w:r>
      <w:r w:rsidR="00BA097C">
        <w:rPr>
          <w:vertAlign w:val="baseline"/>
        </w:rPr>
        <w:t xml:space="preserve"> preface to </w:t>
      </w:r>
      <w:r w:rsidR="00BA097C">
        <w:rPr>
          <w:i/>
          <w:vertAlign w:val="baseline"/>
        </w:rPr>
        <w:t xml:space="preserve">De </w:t>
      </w:r>
      <w:proofErr w:type="spellStart"/>
      <w:r w:rsidR="00BA097C">
        <w:rPr>
          <w:i/>
          <w:vertAlign w:val="baseline"/>
        </w:rPr>
        <w:t>Officiis</w:t>
      </w:r>
      <w:proofErr w:type="spellEnd"/>
      <w:r w:rsidR="00BA097C">
        <w:rPr>
          <w:vertAlign w:val="baseline"/>
        </w:rPr>
        <w:t xml:space="preserve"> </w:t>
      </w:r>
      <w:r w:rsidR="00C3508F">
        <w:rPr>
          <w:vertAlign w:val="baseline"/>
        </w:rPr>
        <w:t xml:space="preserve">includes </w:t>
      </w:r>
      <w:r w:rsidR="00BA097C">
        <w:rPr>
          <w:vertAlign w:val="baseline"/>
        </w:rPr>
        <w:t>Melanchthon</w:t>
      </w:r>
      <w:r w:rsidR="00C3508F">
        <w:rPr>
          <w:vertAlign w:val="baseline"/>
        </w:rPr>
        <w:t>’s praise of Cicero and enjoins Christians to “banish the error . . . that the writings of the pagans are unworthy of being read by Christian people.”  To the contrary, Melanchthon insisted that “those who disparage philosophy not only wage war against human nature, but they also severely injure the glory of the Gospel.”</w:t>
      </w:r>
      <w:r w:rsidR="00C3508F">
        <w:rPr>
          <w:rStyle w:val="EndnoteReference"/>
        </w:rPr>
        <w:endnoteReference w:id="31"/>
      </w:r>
    </w:p>
    <w:p w14:paraId="66E170F1" w14:textId="4E34DC26" w:rsidR="005E0019" w:rsidRDefault="00204F19" w:rsidP="00C3508F">
      <w:pPr>
        <w:spacing w:line="480" w:lineRule="auto"/>
        <w:rPr>
          <w:vertAlign w:val="baseline"/>
        </w:rPr>
      </w:pPr>
      <w:r>
        <w:rPr>
          <w:vertAlign w:val="baseline"/>
        </w:rPr>
        <w:tab/>
        <w:t>Of course, that Cicero’s warm reception was never a uniquely Christian phenomenon should go without saying.</w:t>
      </w:r>
      <w:r w:rsidR="00347EF1">
        <w:rPr>
          <w:vertAlign w:val="baseline"/>
        </w:rPr>
        <w:t xml:space="preserve">  Secular thinkers and statesman of sundry persuasions and nationalities found in Cicero’s work a model and guide</w:t>
      </w:r>
      <w:r w:rsidR="00C3508F">
        <w:rPr>
          <w:vertAlign w:val="baseline"/>
        </w:rPr>
        <w:t>.</w:t>
      </w:r>
      <w:r w:rsidR="00BA097C">
        <w:rPr>
          <w:rStyle w:val="EndnoteReference"/>
        </w:rPr>
        <w:endnoteReference w:id="32"/>
      </w:r>
      <w:r>
        <w:rPr>
          <w:vertAlign w:val="baseline"/>
        </w:rPr>
        <w:t xml:space="preserve">  Consequently, we have in </w:t>
      </w:r>
      <w:r w:rsidR="007C55F3">
        <w:rPr>
          <w:i/>
          <w:vertAlign w:val="baseline"/>
        </w:rPr>
        <w:t xml:space="preserve">De </w:t>
      </w:r>
      <w:proofErr w:type="spellStart"/>
      <w:r w:rsidR="007C55F3">
        <w:rPr>
          <w:i/>
          <w:vertAlign w:val="baseline"/>
        </w:rPr>
        <w:t>Officiis</w:t>
      </w:r>
      <w:proofErr w:type="spellEnd"/>
      <w:r w:rsidR="007C55F3">
        <w:rPr>
          <w:i/>
          <w:vertAlign w:val="baseline"/>
        </w:rPr>
        <w:t xml:space="preserve">, </w:t>
      </w:r>
      <w:r w:rsidR="00406875">
        <w:rPr>
          <w:vertAlign w:val="baseline"/>
        </w:rPr>
        <w:t>this</w:t>
      </w:r>
      <w:r>
        <w:rPr>
          <w:vertAlign w:val="baseline"/>
        </w:rPr>
        <w:t xml:space="preserve"> final ethical treatise </w:t>
      </w:r>
      <w:r w:rsidR="00406875">
        <w:rPr>
          <w:vertAlign w:val="baseline"/>
        </w:rPr>
        <w:t>of</w:t>
      </w:r>
      <w:r>
        <w:rPr>
          <w:vertAlign w:val="baseline"/>
        </w:rPr>
        <w:t xml:space="preserve"> the famed philosopher-statesman, a textual bridge between the pagan and the Christian, the secular and the religious</w:t>
      </w:r>
      <w:r w:rsidR="00043193">
        <w:rPr>
          <w:vertAlign w:val="baseline"/>
        </w:rPr>
        <w:t xml:space="preserve"> worlds.  By contending</w:t>
      </w:r>
      <w:r w:rsidR="007C55F3">
        <w:rPr>
          <w:vertAlign w:val="baseline"/>
        </w:rPr>
        <w:t xml:space="preserve"> in such an accessible wa</w:t>
      </w:r>
      <w:r w:rsidR="00043193">
        <w:rPr>
          <w:vertAlign w:val="baseline"/>
        </w:rPr>
        <w:t>y</w:t>
      </w:r>
      <w:r w:rsidR="007C55F3">
        <w:rPr>
          <w:vertAlign w:val="baseline"/>
        </w:rPr>
        <w:t xml:space="preserve"> with the grand themes of human nature and moral rectitude, </w:t>
      </w:r>
      <w:r w:rsidR="00406875">
        <w:rPr>
          <w:vertAlign w:val="baseline"/>
        </w:rPr>
        <w:t xml:space="preserve">Cicero </w:t>
      </w:r>
      <w:r w:rsidR="007C55F3">
        <w:rPr>
          <w:vertAlign w:val="baseline"/>
        </w:rPr>
        <w:t xml:space="preserve">challenges his reader, a college-aged son, to order his soul and consider his own </w:t>
      </w:r>
      <w:r w:rsidR="00406875">
        <w:rPr>
          <w:vertAlign w:val="baseline"/>
        </w:rPr>
        <w:t>ethical</w:t>
      </w:r>
      <w:r w:rsidR="007C55F3">
        <w:rPr>
          <w:vertAlign w:val="baseline"/>
        </w:rPr>
        <w:t xml:space="preserve"> strengths and </w:t>
      </w:r>
      <w:r w:rsidR="00406875">
        <w:rPr>
          <w:vertAlign w:val="baseline"/>
        </w:rPr>
        <w:t xml:space="preserve">moral </w:t>
      </w:r>
      <w:r w:rsidR="007C55F3">
        <w:rPr>
          <w:vertAlign w:val="baseline"/>
        </w:rPr>
        <w:t xml:space="preserve">failings.  Such a challenge </w:t>
      </w:r>
      <w:r w:rsidR="007B2F9E">
        <w:rPr>
          <w:vertAlign w:val="baseline"/>
        </w:rPr>
        <w:t>should confront every</w:t>
      </w:r>
      <w:r w:rsidR="007C55F3">
        <w:rPr>
          <w:vertAlign w:val="baseline"/>
        </w:rPr>
        <w:t xml:space="preserve"> young </w:t>
      </w:r>
      <w:r w:rsidR="00BA097C">
        <w:rPr>
          <w:vertAlign w:val="baseline"/>
        </w:rPr>
        <w:t xml:space="preserve">student of the liberal arts whose spiritual aspirations include acquisition of an ordered soul and the inner freedom of virtuous </w:t>
      </w:r>
      <w:r w:rsidR="00C3508F">
        <w:rPr>
          <w:vertAlign w:val="baseline"/>
        </w:rPr>
        <w:t xml:space="preserve">self-government. </w:t>
      </w:r>
    </w:p>
    <w:p w14:paraId="04F23A39" w14:textId="5BB044F1" w:rsidR="00171017" w:rsidRPr="00473023" w:rsidRDefault="005E0019" w:rsidP="005E0019">
      <w:pPr>
        <w:spacing w:line="480" w:lineRule="auto"/>
        <w:jc w:val="center"/>
        <w:rPr>
          <w:vertAlign w:val="baseline"/>
        </w:rPr>
      </w:pPr>
      <w:r>
        <w:rPr>
          <w:vertAlign w:val="baseline"/>
        </w:rPr>
        <w:lastRenderedPageBreak/>
        <w:t>Endnotes</w:t>
      </w:r>
    </w:p>
    <w:sectPr w:rsidR="00171017" w:rsidRPr="00473023" w:rsidSect="0022753F">
      <w:headerReference w:type="even" r:id="rId8"/>
      <w:headerReference w:type="default" r:id="rId9"/>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8C130" w14:textId="77777777" w:rsidR="00C3508F" w:rsidRDefault="00C3508F" w:rsidP="00E5624B">
      <w:r>
        <w:separator/>
      </w:r>
    </w:p>
  </w:endnote>
  <w:endnote w:type="continuationSeparator" w:id="0">
    <w:p w14:paraId="244B84B2" w14:textId="77777777" w:rsidR="00C3508F" w:rsidRDefault="00C3508F" w:rsidP="00E5624B">
      <w:r>
        <w:continuationSeparator/>
      </w:r>
    </w:p>
  </w:endnote>
  <w:endnote w:id="1">
    <w:p w14:paraId="2C88DE68" w14:textId="77777777" w:rsidR="00C3508F" w:rsidRDefault="00C3508F" w:rsidP="00E5624B">
      <w:pPr>
        <w:pStyle w:val="EndnoteText"/>
        <w:ind w:firstLine="720"/>
        <w:rPr>
          <w:vertAlign w:val="baseline"/>
        </w:rPr>
      </w:pPr>
      <w:r>
        <w:rPr>
          <w:rStyle w:val="EndnoteReference"/>
        </w:rPr>
        <w:endnoteRef/>
      </w:r>
      <w:r>
        <w:rPr>
          <w:vertAlign w:val="baseline"/>
        </w:rPr>
        <w:t xml:space="preserve">  Andrew R. </w:t>
      </w:r>
      <w:proofErr w:type="spellStart"/>
      <w:r>
        <w:rPr>
          <w:vertAlign w:val="baseline"/>
        </w:rPr>
        <w:t>Dyck</w:t>
      </w:r>
      <w:proofErr w:type="spellEnd"/>
      <w:r>
        <w:rPr>
          <w:vertAlign w:val="baseline"/>
        </w:rPr>
        <w:t xml:space="preserve">, </w:t>
      </w:r>
      <w:r>
        <w:rPr>
          <w:i/>
          <w:vertAlign w:val="baseline"/>
        </w:rPr>
        <w:t xml:space="preserve">A Commentary on Cicero, </w:t>
      </w:r>
      <w:r>
        <w:rPr>
          <w:vertAlign w:val="baseline"/>
        </w:rPr>
        <w:t xml:space="preserve">De </w:t>
      </w:r>
      <w:proofErr w:type="spellStart"/>
      <w:r>
        <w:rPr>
          <w:vertAlign w:val="baseline"/>
        </w:rPr>
        <w:t>Officiis</w:t>
      </w:r>
      <w:proofErr w:type="spellEnd"/>
      <w:r>
        <w:rPr>
          <w:vertAlign w:val="baseline"/>
        </w:rPr>
        <w:t xml:space="preserve"> (Ann Arbor:  University of Michigan Press, 1996), 1-2, 39-40.</w:t>
      </w:r>
    </w:p>
    <w:p w14:paraId="6C09873C" w14:textId="29CEC135" w:rsidR="00C3508F" w:rsidRPr="00E5624B" w:rsidRDefault="00C3508F" w:rsidP="00735D62">
      <w:pPr>
        <w:pStyle w:val="EndnoteText"/>
        <w:rPr>
          <w:i/>
          <w:vertAlign w:val="baseline"/>
        </w:rPr>
      </w:pPr>
    </w:p>
  </w:endnote>
  <w:endnote w:id="2">
    <w:p w14:paraId="789B9C6D" w14:textId="465DD792" w:rsidR="00C3508F" w:rsidRDefault="00C3508F" w:rsidP="00E71972">
      <w:pPr>
        <w:pStyle w:val="EndnoteText"/>
        <w:ind w:firstLine="720"/>
        <w:rPr>
          <w:vertAlign w:val="baseline"/>
        </w:rPr>
      </w:pPr>
      <w:r>
        <w:rPr>
          <w:rStyle w:val="EndnoteReference"/>
        </w:rPr>
        <w:endnoteRef/>
      </w:r>
      <w:r>
        <w:rPr>
          <w:vertAlign w:val="baseline"/>
        </w:rPr>
        <w:t xml:space="preserve">  Martin Davies, “Book, Printed,” in Anthony Grafton, et al, eds</w:t>
      </w:r>
      <w:proofErr w:type="gramStart"/>
      <w:r>
        <w:rPr>
          <w:vertAlign w:val="baseline"/>
        </w:rPr>
        <w:t>.,</w:t>
      </w:r>
      <w:proofErr w:type="gramEnd"/>
      <w:r>
        <w:rPr>
          <w:vertAlign w:val="baseline"/>
        </w:rPr>
        <w:t xml:space="preserve"> </w:t>
      </w:r>
      <w:r>
        <w:rPr>
          <w:i/>
          <w:vertAlign w:val="baseline"/>
        </w:rPr>
        <w:t>The Classical Tradition</w:t>
      </w:r>
      <w:r>
        <w:rPr>
          <w:vertAlign w:val="baseline"/>
        </w:rPr>
        <w:t xml:space="preserve"> (Cambridge:  The Belknap Press of Harvard University Press, 2010), 142.</w:t>
      </w:r>
    </w:p>
    <w:p w14:paraId="7227591A" w14:textId="04CCF84A" w:rsidR="00C3508F" w:rsidRDefault="00C3508F" w:rsidP="00E71972">
      <w:pPr>
        <w:pStyle w:val="EndnoteText"/>
        <w:ind w:firstLine="720"/>
      </w:pPr>
      <w:r>
        <w:t xml:space="preserve"> </w:t>
      </w:r>
    </w:p>
  </w:endnote>
  <w:endnote w:id="3">
    <w:p w14:paraId="1BD0F560" w14:textId="0ECB56D4" w:rsidR="00C3508F" w:rsidRDefault="00C3508F" w:rsidP="00735D62">
      <w:pPr>
        <w:pStyle w:val="EndnoteText"/>
        <w:ind w:firstLine="720"/>
      </w:pPr>
      <w:r>
        <w:rPr>
          <w:rStyle w:val="EndnoteReference"/>
        </w:rPr>
        <w:endnoteRef/>
      </w:r>
      <w:r>
        <w:rPr>
          <w:vertAlign w:val="baseline"/>
        </w:rPr>
        <w:t xml:space="preserve">  Ibid</w:t>
      </w:r>
      <w:proofErr w:type="gramStart"/>
      <w:r>
        <w:rPr>
          <w:vertAlign w:val="baseline"/>
        </w:rPr>
        <w:t>.,</w:t>
      </w:r>
      <w:proofErr w:type="gramEnd"/>
      <w:r>
        <w:rPr>
          <w:vertAlign w:val="baseline"/>
        </w:rPr>
        <w:t xml:space="preserve"> 7-8.</w:t>
      </w:r>
      <w:r>
        <w:t xml:space="preserve"> </w:t>
      </w:r>
    </w:p>
    <w:p w14:paraId="7BD6DEF3" w14:textId="77777777" w:rsidR="00C3508F" w:rsidRDefault="00C3508F" w:rsidP="00735D62">
      <w:pPr>
        <w:pStyle w:val="EndnoteText"/>
        <w:ind w:firstLine="720"/>
      </w:pPr>
    </w:p>
  </w:endnote>
  <w:endnote w:id="4">
    <w:p w14:paraId="35D4E421" w14:textId="77777777" w:rsidR="00C3508F" w:rsidRDefault="00C3508F" w:rsidP="00735D62">
      <w:pPr>
        <w:pStyle w:val="EndnoteText"/>
        <w:ind w:firstLine="720"/>
        <w:rPr>
          <w:vertAlign w:val="baseline"/>
        </w:rPr>
      </w:pPr>
      <w:r>
        <w:rPr>
          <w:rStyle w:val="EndnoteReference"/>
        </w:rPr>
        <w:endnoteRef/>
      </w:r>
      <w:r>
        <w:t xml:space="preserve">  </w:t>
      </w:r>
      <w:r>
        <w:rPr>
          <w:vertAlign w:val="baseline"/>
        </w:rPr>
        <w:t xml:space="preserve">P. G. Walsh, trans., </w:t>
      </w:r>
      <w:r>
        <w:rPr>
          <w:i/>
          <w:vertAlign w:val="baseline"/>
        </w:rPr>
        <w:t>Cicero: On Obligations</w:t>
      </w:r>
      <w:r>
        <w:rPr>
          <w:vertAlign w:val="baseline"/>
        </w:rPr>
        <w:t xml:space="preserve"> (Oxford:  Oxford University Press, 2000).</w:t>
      </w:r>
    </w:p>
    <w:p w14:paraId="0A5D430C" w14:textId="43409783" w:rsidR="00C3508F" w:rsidRPr="00735D62" w:rsidRDefault="00C3508F" w:rsidP="00735D62">
      <w:pPr>
        <w:pStyle w:val="EndnoteText"/>
        <w:ind w:firstLine="720"/>
        <w:rPr>
          <w:vertAlign w:val="baseline"/>
        </w:rPr>
      </w:pPr>
      <w:r>
        <w:t xml:space="preserve"> </w:t>
      </w:r>
    </w:p>
  </w:endnote>
  <w:endnote w:id="5">
    <w:p w14:paraId="282E8634" w14:textId="77777777" w:rsidR="00C3508F" w:rsidRDefault="00C3508F" w:rsidP="00156BC0">
      <w:pPr>
        <w:pStyle w:val="EndnoteText"/>
        <w:ind w:firstLine="720"/>
        <w:rPr>
          <w:vertAlign w:val="baseline"/>
        </w:rPr>
      </w:pPr>
      <w:r>
        <w:rPr>
          <w:rStyle w:val="EndnoteReference"/>
        </w:rPr>
        <w:endnoteRef/>
      </w:r>
      <w:r>
        <w:rPr>
          <w:vertAlign w:val="baseline"/>
        </w:rPr>
        <w:t xml:space="preserve">  Thomas P. Scheck, “</w:t>
      </w:r>
      <w:proofErr w:type="spellStart"/>
      <w:r>
        <w:rPr>
          <w:i/>
          <w:vertAlign w:val="baseline"/>
        </w:rPr>
        <w:t>Humanitas</w:t>
      </w:r>
      <w:proofErr w:type="spellEnd"/>
      <w:r>
        <w:rPr>
          <w:vertAlign w:val="baseline"/>
        </w:rPr>
        <w:t xml:space="preserve"> in Cicero’s Moral Philosophy and its Christian Reception,” </w:t>
      </w:r>
      <w:r>
        <w:rPr>
          <w:i/>
          <w:vertAlign w:val="baseline"/>
        </w:rPr>
        <w:t>Ave Maria Law Review</w:t>
      </w:r>
      <w:r>
        <w:rPr>
          <w:vertAlign w:val="baseline"/>
        </w:rPr>
        <w:t xml:space="preserve"> 10 (Spring 2012):  407-408.</w:t>
      </w:r>
    </w:p>
    <w:p w14:paraId="01C1852C" w14:textId="1BDF3D61" w:rsidR="00C3508F" w:rsidRDefault="00C3508F" w:rsidP="00156BC0">
      <w:pPr>
        <w:pStyle w:val="EndnoteText"/>
        <w:ind w:firstLine="720"/>
      </w:pPr>
      <w:r>
        <w:tab/>
        <w:t xml:space="preserve"> </w:t>
      </w:r>
    </w:p>
  </w:endnote>
  <w:endnote w:id="6">
    <w:p w14:paraId="2EDE2D73" w14:textId="506AB122" w:rsidR="00C3508F" w:rsidRDefault="00C3508F" w:rsidP="00F55C71">
      <w:pPr>
        <w:pStyle w:val="EndnoteText"/>
        <w:ind w:firstLine="720"/>
        <w:rPr>
          <w:vertAlign w:val="baseline"/>
        </w:rPr>
      </w:pPr>
      <w:r>
        <w:rPr>
          <w:rStyle w:val="EndnoteReference"/>
        </w:rPr>
        <w:endnoteRef/>
      </w:r>
      <w:r>
        <w:rPr>
          <w:vertAlign w:val="baseline"/>
        </w:rPr>
        <w:t xml:space="preserve">  Charles Norris Cochrane, </w:t>
      </w:r>
      <w:r>
        <w:rPr>
          <w:i/>
          <w:vertAlign w:val="baseline"/>
        </w:rPr>
        <w:t>Christianity and Classical Culture:  A Study of Thought and Action from Augustus to Augustine</w:t>
      </w:r>
      <w:r>
        <w:rPr>
          <w:vertAlign w:val="baseline"/>
        </w:rPr>
        <w:t xml:space="preserve"> (1940; reprint, Indianapolis:  Liberty Fund, 2003), 52.</w:t>
      </w:r>
    </w:p>
    <w:p w14:paraId="68023AEC" w14:textId="1C825E5C" w:rsidR="00C3508F" w:rsidRDefault="00C3508F" w:rsidP="00F55C71">
      <w:pPr>
        <w:pStyle w:val="EndnoteText"/>
        <w:ind w:firstLine="720"/>
      </w:pPr>
      <w:r>
        <w:t xml:space="preserve"> </w:t>
      </w:r>
    </w:p>
  </w:endnote>
  <w:endnote w:id="7">
    <w:p w14:paraId="2FEB28BA" w14:textId="5787E712" w:rsidR="00C3508F" w:rsidRDefault="00C3508F" w:rsidP="00E95929">
      <w:pPr>
        <w:pStyle w:val="EndnoteText"/>
        <w:ind w:firstLine="720"/>
        <w:rPr>
          <w:vertAlign w:val="baseline"/>
        </w:rPr>
      </w:pPr>
      <w:r>
        <w:rPr>
          <w:rStyle w:val="EndnoteReference"/>
        </w:rPr>
        <w:endnoteRef/>
      </w:r>
      <w:r>
        <w:rPr>
          <w:vertAlign w:val="baseline"/>
        </w:rPr>
        <w:t xml:space="preserve">  </w:t>
      </w:r>
      <w:r>
        <w:t xml:space="preserve"> </w:t>
      </w:r>
      <w:r>
        <w:rPr>
          <w:vertAlign w:val="baseline"/>
        </w:rPr>
        <w:t xml:space="preserve">Walter Miller, trans., </w:t>
      </w:r>
      <w:r>
        <w:rPr>
          <w:i/>
          <w:vertAlign w:val="baseline"/>
        </w:rPr>
        <w:t xml:space="preserve">Cicero: De </w:t>
      </w:r>
      <w:proofErr w:type="spellStart"/>
      <w:r>
        <w:rPr>
          <w:i/>
          <w:vertAlign w:val="baseline"/>
        </w:rPr>
        <w:t>Officiis</w:t>
      </w:r>
      <w:proofErr w:type="spellEnd"/>
      <w:r>
        <w:rPr>
          <w:i/>
          <w:vertAlign w:val="baseline"/>
        </w:rPr>
        <w:t xml:space="preserve">, </w:t>
      </w:r>
      <w:r>
        <w:rPr>
          <w:vertAlign w:val="baseline"/>
        </w:rPr>
        <w:t>The Loeb Classical Library, vol. xxi (1913; reprint. Cambridge:  Harvard University Press, 1990), 169.</w:t>
      </w:r>
    </w:p>
    <w:p w14:paraId="5984D262" w14:textId="77777777" w:rsidR="00C3508F" w:rsidRPr="003E3E89" w:rsidRDefault="00C3508F" w:rsidP="00E95929">
      <w:pPr>
        <w:pStyle w:val="EndnoteText"/>
        <w:ind w:firstLine="720"/>
        <w:rPr>
          <w:vertAlign w:val="baseline"/>
        </w:rPr>
      </w:pPr>
    </w:p>
  </w:endnote>
  <w:endnote w:id="8">
    <w:p w14:paraId="341AED6F" w14:textId="77777777" w:rsidR="00C3508F" w:rsidRDefault="00C3508F" w:rsidP="00792F29">
      <w:pPr>
        <w:pStyle w:val="EndnoteText"/>
        <w:ind w:firstLine="720"/>
        <w:rPr>
          <w:vertAlign w:val="baseline"/>
        </w:rPr>
      </w:pPr>
      <w:r>
        <w:rPr>
          <w:rStyle w:val="EndnoteReference"/>
        </w:rPr>
        <w:endnoteRef/>
      </w:r>
      <w:r>
        <w:rPr>
          <w:vertAlign w:val="baseline"/>
        </w:rPr>
        <w:t xml:space="preserve">  Ibid</w:t>
      </w:r>
      <w:proofErr w:type="gramStart"/>
      <w:r>
        <w:rPr>
          <w:vertAlign w:val="baseline"/>
        </w:rPr>
        <w:t>.,</w:t>
      </w:r>
      <w:proofErr w:type="gramEnd"/>
      <w:r>
        <w:rPr>
          <w:vertAlign w:val="baseline"/>
        </w:rPr>
        <w:t xml:space="preserve"> 13.</w:t>
      </w:r>
    </w:p>
    <w:p w14:paraId="47335FAA" w14:textId="08138CDA" w:rsidR="00C3508F" w:rsidRDefault="00C3508F" w:rsidP="00792F29">
      <w:pPr>
        <w:pStyle w:val="EndnoteText"/>
        <w:ind w:firstLine="720"/>
      </w:pPr>
      <w:r>
        <w:t xml:space="preserve"> </w:t>
      </w:r>
    </w:p>
  </w:endnote>
  <w:endnote w:id="9">
    <w:p w14:paraId="7311625F" w14:textId="77777777" w:rsidR="00C3508F" w:rsidRDefault="00C3508F" w:rsidP="00CC6C9F">
      <w:pPr>
        <w:pStyle w:val="EndnoteText"/>
        <w:ind w:firstLine="720"/>
        <w:rPr>
          <w:vertAlign w:val="baseline"/>
        </w:rPr>
      </w:pPr>
      <w:r>
        <w:rPr>
          <w:rStyle w:val="EndnoteReference"/>
        </w:rPr>
        <w:endnoteRef/>
      </w:r>
      <w:r>
        <w:rPr>
          <w:vertAlign w:val="baseline"/>
        </w:rPr>
        <w:t xml:space="preserve">  Cochrane, 53; Miller, 15.</w:t>
      </w:r>
    </w:p>
    <w:p w14:paraId="30822609" w14:textId="7CF7C1CE" w:rsidR="00C3508F" w:rsidRDefault="00C3508F" w:rsidP="00CC6C9F">
      <w:pPr>
        <w:pStyle w:val="EndnoteText"/>
        <w:ind w:firstLine="720"/>
      </w:pPr>
      <w:r>
        <w:t xml:space="preserve"> </w:t>
      </w:r>
    </w:p>
  </w:endnote>
  <w:endnote w:id="10">
    <w:p w14:paraId="3E814BB1" w14:textId="77777777" w:rsidR="00C3508F" w:rsidRDefault="00C3508F" w:rsidP="00CC6C9F">
      <w:pPr>
        <w:pStyle w:val="EndnoteText"/>
        <w:ind w:firstLine="720"/>
        <w:rPr>
          <w:vertAlign w:val="baseline"/>
        </w:rPr>
      </w:pPr>
      <w:r>
        <w:rPr>
          <w:rStyle w:val="EndnoteReference"/>
        </w:rPr>
        <w:endnoteRef/>
      </w:r>
      <w:r>
        <w:rPr>
          <w:vertAlign w:val="baseline"/>
        </w:rPr>
        <w:t xml:space="preserve">  Ibid.</w:t>
      </w:r>
    </w:p>
    <w:p w14:paraId="73B09020" w14:textId="01419986" w:rsidR="00C3508F" w:rsidRDefault="00C3508F" w:rsidP="00CC6C9F">
      <w:pPr>
        <w:pStyle w:val="EndnoteText"/>
        <w:ind w:firstLine="720"/>
      </w:pPr>
      <w:r>
        <w:t xml:space="preserve"> </w:t>
      </w:r>
    </w:p>
  </w:endnote>
  <w:endnote w:id="11">
    <w:p w14:paraId="74D42976" w14:textId="77777777" w:rsidR="00C3508F" w:rsidRDefault="00C3508F" w:rsidP="00AA6612">
      <w:pPr>
        <w:pStyle w:val="EndnoteText"/>
        <w:ind w:firstLine="720"/>
        <w:rPr>
          <w:vertAlign w:val="baseline"/>
        </w:rPr>
      </w:pPr>
      <w:r>
        <w:rPr>
          <w:rStyle w:val="EndnoteReference"/>
        </w:rPr>
        <w:endnoteRef/>
      </w:r>
      <w:r>
        <w:rPr>
          <w:vertAlign w:val="baseline"/>
        </w:rPr>
        <w:t xml:space="preserve">  Ibid</w:t>
      </w:r>
      <w:proofErr w:type="gramStart"/>
      <w:r>
        <w:rPr>
          <w:vertAlign w:val="baseline"/>
        </w:rPr>
        <w:t>.,</w:t>
      </w:r>
      <w:proofErr w:type="gramEnd"/>
      <w:r>
        <w:rPr>
          <w:vertAlign w:val="baseline"/>
        </w:rPr>
        <w:t xml:space="preserve"> 15, 17.</w:t>
      </w:r>
    </w:p>
    <w:p w14:paraId="478CD86C" w14:textId="0A479516" w:rsidR="00C3508F" w:rsidRDefault="00C3508F" w:rsidP="00AA6612">
      <w:pPr>
        <w:pStyle w:val="EndnoteText"/>
        <w:ind w:firstLine="720"/>
      </w:pPr>
      <w:r>
        <w:t xml:space="preserve"> </w:t>
      </w:r>
    </w:p>
  </w:endnote>
  <w:endnote w:id="12">
    <w:p w14:paraId="540D0DDF" w14:textId="6E19541F" w:rsidR="00C3508F" w:rsidRDefault="00C3508F" w:rsidP="00C712C1">
      <w:pPr>
        <w:pStyle w:val="EndnoteText"/>
        <w:ind w:firstLine="720"/>
        <w:rPr>
          <w:vertAlign w:val="baseline"/>
        </w:rPr>
      </w:pPr>
      <w:r>
        <w:rPr>
          <w:rStyle w:val="EndnoteReference"/>
        </w:rPr>
        <w:endnoteRef/>
      </w:r>
      <w:r>
        <w:rPr>
          <w:vertAlign w:val="baseline"/>
        </w:rPr>
        <w:t xml:space="preserve">  </w:t>
      </w:r>
      <w:proofErr w:type="gramStart"/>
      <w:r>
        <w:rPr>
          <w:vertAlign w:val="baseline"/>
        </w:rPr>
        <w:t>Cochrane, 54-57.</w:t>
      </w:r>
      <w:proofErr w:type="gramEnd"/>
    </w:p>
    <w:p w14:paraId="5E54892F" w14:textId="13DA019A" w:rsidR="00C3508F" w:rsidRDefault="00C3508F" w:rsidP="00C712C1">
      <w:pPr>
        <w:pStyle w:val="EndnoteText"/>
        <w:ind w:firstLine="720"/>
      </w:pPr>
      <w:r>
        <w:t xml:space="preserve"> </w:t>
      </w:r>
    </w:p>
  </w:endnote>
  <w:endnote w:id="13">
    <w:p w14:paraId="737AE479" w14:textId="0DCD7D93" w:rsidR="00C3508F" w:rsidRDefault="00C3508F" w:rsidP="00001100">
      <w:pPr>
        <w:pStyle w:val="EndnoteText"/>
        <w:ind w:firstLine="720"/>
        <w:rPr>
          <w:vertAlign w:val="baseline"/>
        </w:rPr>
      </w:pPr>
      <w:r>
        <w:rPr>
          <w:rStyle w:val="EndnoteReference"/>
        </w:rPr>
        <w:endnoteRef/>
      </w:r>
      <w:r>
        <w:rPr>
          <w:vertAlign w:val="baseline"/>
        </w:rPr>
        <w:t xml:space="preserve">  Miller</w:t>
      </w:r>
      <w:proofErr w:type="gramStart"/>
      <w:r>
        <w:rPr>
          <w:vertAlign w:val="baseline"/>
        </w:rPr>
        <w:t>.,</w:t>
      </w:r>
      <w:proofErr w:type="gramEnd"/>
      <w:r>
        <w:rPr>
          <w:vertAlign w:val="baseline"/>
        </w:rPr>
        <w:t xml:space="preserve"> 17.</w:t>
      </w:r>
    </w:p>
    <w:p w14:paraId="523C9F21" w14:textId="4C9BE932" w:rsidR="00C3508F" w:rsidRDefault="00C3508F" w:rsidP="00001100">
      <w:pPr>
        <w:pStyle w:val="EndnoteText"/>
        <w:ind w:firstLine="720"/>
      </w:pPr>
      <w:r>
        <w:t xml:space="preserve"> </w:t>
      </w:r>
    </w:p>
  </w:endnote>
  <w:endnote w:id="14">
    <w:p w14:paraId="5B5F6869" w14:textId="76B21BD2" w:rsidR="00C3508F" w:rsidRDefault="00C3508F" w:rsidP="00171017">
      <w:pPr>
        <w:pStyle w:val="EndnoteText"/>
        <w:ind w:firstLine="720"/>
        <w:rPr>
          <w:vertAlign w:val="baseline"/>
        </w:rPr>
      </w:pPr>
      <w:r>
        <w:rPr>
          <w:rStyle w:val="EndnoteReference"/>
        </w:rPr>
        <w:endnoteRef/>
      </w:r>
      <w:r>
        <w:t xml:space="preserve"> </w:t>
      </w:r>
      <w:r>
        <w:rPr>
          <w:vertAlign w:val="baseline"/>
        </w:rPr>
        <w:t xml:space="preserve"> </w:t>
      </w:r>
      <w:proofErr w:type="gramStart"/>
      <w:r>
        <w:rPr>
          <w:vertAlign w:val="baseline"/>
        </w:rPr>
        <w:t xml:space="preserve">Harry C. </w:t>
      </w:r>
      <w:proofErr w:type="spellStart"/>
      <w:r>
        <w:rPr>
          <w:vertAlign w:val="baseline"/>
        </w:rPr>
        <w:t>Edinger</w:t>
      </w:r>
      <w:proofErr w:type="spellEnd"/>
      <w:r>
        <w:rPr>
          <w:vertAlign w:val="baseline"/>
        </w:rPr>
        <w:t xml:space="preserve">, trans., </w:t>
      </w:r>
      <w:r>
        <w:rPr>
          <w:i/>
          <w:vertAlign w:val="baseline"/>
        </w:rPr>
        <w:t>Cicero, On Duties</w:t>
      </w:r>
      <w:r>
        <w:rPr>
          <w:vertAlign w:val="baseline"/>
        </w:rPr>
        <w:t xml:space="preserve"> (Indianapolis:  </w:t>
      </w:r>
      <w:proofErr w:type="spellStart"/>
      <w:r>
        <w:rPr>
          <w:vertAlign w:val="baseline"/>
        </w:rPr>
        <w:t>Bobbs</w:t>
      </w:r>
      <w:proofErr w:type="spellEnd"/>
      <w:r>
        <w:rPr>
          <w:vertAlign w:val="baseline"/>
        </w:rPr>
        <w:t>-Merrill, 1974), 85.</w:t>
      </w:r>
      <w:proofErr w:type="gramEnd"/>
    </w:p>
    <w:p w14:paraId="1FE386AB" w14:textId="77777777" w:rsidR="00C3508F" w:rsidRPr="00171017" w:rsidRDefault="00C3508F" w:rsidP="00171017">
      <w:pPr>
        <w:pStyle w:val="EndnoteText"/>
        <w:ind w:firstLine="720"/>
        <w:rPr>
          <w:vertAlign w:val="baseline"/>
        </w:rPr>
      </w:pPr>
    </w:p>
  </w:endnote>
  <w:endnote w:id="15">
    <w:p w14:paraId="61723A56" w14:textId="77777777" w:rsidR="00C3508F" w:rsidRDefault="00C3508F" w:rsidP="000734C4">
      <w:pPr>
        <w:pStyle w:val="EndnoteText"/>
        <w:ind w:firstLine="720"/>
        <w:rPr>
          <w:vertAlign w:val="baseline"/>
        </w:rPr>
      </w:pPr>
      <w:r>
        <w:rPr>
          <w:rStyle w:val="EndnoteReference"/>
        </w:rPr>
        <w:endnoteRef/>
      </w:r>
      <w:r>
        <w:t xml:space="preserve">  </w:t>
      </w:r>
      <w:proofErr w:type="gramStart"/>
      <w:r>
        <w:rPr>
          <w:vertAlign w:val="baseline"/>
        </w:rPr>
        <w:t>Walsh, 52.</w:t>
      </w:r>
      <w:proofErr w:type="gramEnd"/>
    </w:p>
    <w:p w14:paraId="7634E974" w14:textId="77777777" w:rsidR="00C3508F" w:rsidRDefault="00C3508F" w:rsidP="000734C4">
      <w:pPr>
        <w:pStyle w:val="EndnoteText"/>
        <w:ind w:firstLine="720"/>
      </w:pPr>
      <w:r>
        <w:t xml:space="preserve"> </w:t>
      </w:r>
    </w:p>
  </w:endnote>
  <w:endnote w:id="16">
    <w:p w14:paraId="3CCDB6EB" w14:textId="07DB6B20" w:rsidR="00C3508F" w:rsidRDefault="00C3508F" w:rsidP="000734C4">
      <w:pPr>
        <w:pStyle w:val="EndnoteText"/>
        <w:ind w:firstLine="720"/>
      </w:pPr>
      <w:r>
        <w:rPr>
          <w:rStyle w:val="EndnoteReference"/>
        </w:rPr>
        <w:endnoteRef/>
      </w:r>
      <w:r>
        <w:rPr>
          <w:vertAlign w:val="baseline"/>
        </w:rPr>
        <w:t xml:space="preserve">  </w:t>
      </w:r>
      <w:proofErr w:type="gramStart"/>
      <w:r>
        <w:rPr>
          <w:vertAlign w:val="baseline"/>
        </w:rPr>
        <w:t>Miller, 157,159.</w:t>
      </w:r>
      <w:proofErr w:type="gramEnd"/>
      <w:r>
        <w:t xml:space="preserve"> </w:t>
      </w:r>
    </w:p>
    <w:p w14:paraId="30DD0BD1" w14:textId="77777777" w:rsidR="00C3508F" w:rsidRDefault="00C3508F" w:rsidP="000734C4">
      <w:pPr>
        <w:pStyle w:val="EndnoteText"/>
        <w:ind w:firstLine="720"/>
      </w:pPr>
    </w:p>
  </w:endnote>
  <w:endnote w:id="17">
    <w:p w14:paraId="4C8F2F83" w14:textId="77777777" w:rsidR="00C3508F" w:rsidRDefault="00C3508F" w:rsidP="000811ED">
      <w:pPr>
        <w:pStyle w:val="EndnoteText"/>
        <w:ind w:firstLine="720"/>
        <w:rPr>
          <w:vertAlign w:val="baseline"/>
        </w:rPr>
      </w:pPr>
      <w:r>
        <w:rPr>
          <w:rStyle w:val="EndnoteReference"/>
        </w:rPr>
        <w:endnoteRef/>
      </w:r>
      <w:r>
        <w:rPr>
          <w:vertAlign w:val="baseline"/>
        </w:rPr>
        <w:t xml:space="preserve">  </w:t>
      </w:r>
      <w:proofErr w:type="gramStart"/>
      <w:r>
        <w:rPr>
          <w:vertAlign w:val="baseline"/>
        </w:rPr>
        <w:t>Cochrane, 59.</w:t>
      </w:r>
      <w:proofErr w:type="gramEnd"/>
    </w:p>
    <w:p w14:paraId="234C346B" w14:textId="2C1E95EC" w:rsidR="00C3508F" w:rsidRDefault="00C3508F" w:rsidP="000811ED">
      <w:pPr>
        <w:pStyle w:val="EndnoteText"/>
        <w:ind w:firstLine="720"/>
      </w:pPr>
      <w:r>
        <w:t xml:space="preserve"> </w:t>
      </w:r>
    </w:p>
  </w:endnote>
  <w:endnote w:id="18">
    <w:p w14:paraId="55ABD393" w14:textId="40BE86E2" w:rsidR="00C3508F" w:rsidRDefault="00C3508F" w:rsidP="00AF7603">
      <w:pPr>
        <w:pStyle w:val="EndnoteText"/>
        <w:ind w:firstLine="720"/>
      </w:pPr>
      <w:r>
        <w:rPr>
          <w:rStyle w:val="EndnoteReference"/>
        </w:rPr>
        <w:endnoteRef/>
      </w:r>
      <w:r>
        <w:rPr>
          <w:vertAlign w:val="baseline"/>
        </w:rPr>
        <w:t xml:space="preserve">  </w:t>
      </w:r>
      <w:proofErr w:type="gramStart"/>
      <w:r>
        <w:rPr>
          <w:vertAlign w:val="baseline"/>
        </w:rPr>
        <w:t>Walsh, 57.</w:t>
      </w:r>
      <w:proofErr w:type="gramEnd"/>
      <w:r>
        <w:t xml:space="preserve"> </w:t>
      </w:r>
    </w:p>
    <w:p w14:paraId="73AA3D50" w14:textId="77777777" w:rsidR="00C3508F" w:rsidRDefault="00C3508F" w:rsidP="00AF7603">
      <w:pPr>
        <w:pStyle w:val="EndnoteText"/>
        <w:ind w:firstLine="720"/>
      </w:pPr>
    </w:p>
  </w:endnote>
  <w:endnote w:id="19">
    <w:p w14:paraId="74EF4C7A" w14:textId="2BF8AA0A" w:rsidR="00C3508F" w:rsidRDefault="00C3508F" w:rsidP="0045160D">
      <w:pPr>
        <w:pStyle w:val="EndnoteText"/>
        <w:ind w:firstLine="720"/>
      </w:pPr>
      <w:r>
        <w:rPr>
          <w:rStyle w:val="EndnoteReference"/>
        </w:rPr>
        <w:endnoteRef/>
      </w:r>
      <w:r>
        <w:rPr>
          <w:vertAlign w:val="baseline"/>
        </w:rPr>
        <w:t xml:space="preserve">  </w:t>
      </w:r>
      <w:proofErr w:type="spellStart"/>
      <w:proofErr w:type="gramStart"/>
      <w:r>
        <w:rPr>
          <w:vertAlign w:val="baseline"/>
        </w:rPr>
        <w:t>Edinger</w:t>
      </w:r>
      <w:proofErr w:type="spellEnd"/>
      <w:r>
        <w:rPr>
          <w:vertAlign w:val="baseline"/>
        </w:rPr>
        <w:t>, 135-136.</w:t>
      </w:r>
      <w:proofErr w:type="gramEnd"/>
      <w:r>
        <w:tab/>
        <w:t xml:space="preserve"> </w:t>
      </w:r>
    </w:p>
    <w:p w14:paraId="01FEECA7" w14:textId="77777777" w:rsidR="00C3508F" w:rsidRDefault="00C3508F" w:rsidP="0045160D">
      <w:pPr>
        <w:pStyle w:val="EndnoteText"/>
        <w:ind w:firstLine="720"/>
      </w:pPr>
    </w:p>
  </w:endnote>
  <w:endnote w:id="20">
    <w:p w14:paraId="40264B03" w14:textId="77777777" w:rsidR="00C3508F" w:rsidRDefault="00C3508F" w:rsidP="00505F79">
      <w:pPr>
        <w:pStyle w:val="EndnoteText"/>
        <w:ind w:firstLine="720"/>
        <w:rPr>
          <w:vertAlign w:val="baseline"/>
        </w:rPr>
      </w:pPr>
      <w:r>
        <w:rPr>
          <w:rStyle w:val="EndnoteReference"/>
        </w:rPr>
        <w:endnoteRef/>
      </w:r>
      <w:r>
        <w:rPr>
          <w:vertAlign w:val="baseline"/>
        </w:rPr>
        <w:t xml:space="preserve">  </w:t>
      </w:r>
      <w:proofErr w:type="gramStart"/>
      <w:r>
        <w:rPr>
          <w:vertAlign w:val="baseline"/>
        </w:rPr>
        <w:t>Walsh, 93.</w:t>
      </w:r>
      <w:proofErr w:type="gramEnd"/>
    </w:p>
    <w:p w14:paraId="1BBB34ED" w14:textId="18189453" w:rsidR="00C3508F" w:rsidRDefault="00C3508F" w:rsidP="00505F79">
      <w:pPr>
        <w:pStyle w:val="EndnoteText"/>
        <w:ind w:firstLine="720"/>
      </w:pPr>
      <w:r>
        <w:t xml:space="preserve"> </w:t>
      </w:r>
    </w:p>
  </w:endnote>
  <w:endnote w:id="21">
    <w:p w14:paraId="4E493436" w14:textId="4D61ACD3" w:rsidR="00C3508F" w:rsidRDefault="00C3508F" w:rsidP="00505F79">
      <w:pPr>
        <w:pStyle w:val="EndnoteText"/>
        <w:ind w:firstLine="720"/>
      </w:pPr>
      <w:r>
        <w:rPr>
          <w:rStyle w:val="EndnoteReference"/>
        </w:rPr>
        <w:endnoteRef/>
      </w:r>
      <w:r>
        <w:rPr>
          <w:vertAlign w:val="baseline"/>
        </w:rPr>
        <w:t xml:space="preserve">  </w:t>
      </w:r>
      <w:proofErr w:type="spellStart"/>
      <w:proofErr w:type="gramStart"/>
      <w:r>
        <w:rPr>
          <w:vertAlign w:val="baseline"/>
        </w:rPr>
        <w:t>Edinger</w:t>
      </w:r>
      <w:proofErr w:type="spellEnd"/>
      <w:r>
        <w:rPr>
          <w:vertAlign w:val="baseline"/>
        </w:rPr>
        <w:t>, 139.</w:t>
      </w:r>
      <w:proofErr w:type="gramEnd"/>
      <w:r>
        <w:t xml:space="preserve"> </w:t>
      </w:r>
    </w:p>
  </w:endnote>
  <w:endnote w:id="22">
    <w:p w14:paraId="6F57895F" w14:textId="77777777" w:rsidR="00C3508F" w:rsidRDefault="00C3508F">
      <w:pPr>
        <w:pStyle w:val="EndnoteText"/>
      </w:pPr>
    </w:p>
    <w:p w14:paraId="40F46551" w14:textId="77777777" w:rsidR="00C3508F" w:rsidRDefault="00C3508F" w:rsidP="008962FA">
      <w:pPr>
        <w:pStyle w:val="EndnoteText"/>
        <w:ind w:firstLine="720"/>
        <w:rPr>
          <w:vertAlign w:val="baseline"/>
        </w:rPr>
      </w:pPr>
      <w:r>
        <w:rPr>
          <w:rStyle w:val="EndnoteReference"/>
        </w:rPr>
        <w:endnoteRef/>
      </w:r>
      <w:r>
        <w:rPr>
          <w:vertAlign w:val="baseline"/>
        </w:rPr>
        <w:t xml:space="preserve">  </w:t>
      </w:r>
      <w:proofErr w:type="gramStart"/>
      <w:r>
        <w:rPr>
          <w:vertAlign w:val="baseline"/>
        </w:rPr>
        <w:t>Walsh, 125.</w:t>
      </w:r>
      <w:proofErr w:type="gramEnd"/>
    </w:p>
    <w:p w14:paraId="1015DFF4" w14:textId="7ADF9CF4" w:rsidR="00C3508F" w:rsidRDefault="00C3508F" w:rsidP="008962FA">
      <w:pPr>
        <w:pStyle w:val="EndnoteText"/>
        <w:ind w:firstLine="720"/>
      </w:pPr>
      <w:r>
        <w:t xml:space="preserve"> </w:t>
      </w:r>
    </w:p>
  </w:endnote>
  <w:endnote w:id="23">
    <w:p w14:paraId="7ED72CE6" w14:textId="1672C0B2" w:rsidR="00C3508F" w:rsidRDefault="00C3508F" w:rsidP="00043193">
      <w:pPr>
        <w:pStyle w:val="EndnoteText"/>
        <w:ind w:firstLine="720"/>
        <w:rPr>
          <w:vertAlign w:val="baseline"/>
        </w:rPr>
      </w:pPr>
      <w:r>
        <w:rPr>
          <w:rStyle w:val="EndnoteReference"/>
        </w:rPr>
        <w:endnoteRef/>
      </w:r>
      <w:r>
        <w:t xml:space="preserve">  </w:t>
      </w:r>
      <w:r>
        <w:rPr>
          <w:vertAlign w:val="baseline"/>
        </w:rPr>
        <w:t xml:space="preserve">Anthony Grafton, “Cicero and </w:t>
      </w:r>
      <w:proofErr w:type="spellStart"/>
      <w:r>
        <w:rPr>
          <w:vertAlign w:val="baseline"/>
        </w:rPr>
        <w:t>Ciceronianism</w:t>
      </w:r>
      <w:proofErr w:type="spellEnd"/>
      <w:r>
        <w:rPr>
          <w:vertAlign w:val="baseline"/>
        </w:rPr>
        <w:t xml:space="preserve">,” </w:t>
      </w:r>
      <w:proofErr w:type="gramStart"/>
      <w:r>
        <w:rPr>
          <w:vertAlign w:val="baseline"/>
        </w:rPr>
        <w:t xml:space="preserve">in </w:t>
      </w:r>
      <w:r>
        <w:t xml:space="preserve"> </w:t>
      </w:r>
      <w:r>
        <w:rPr>
          <w:vertAlign w:val="baseline"/>
        </w:rPr>
        <w:t>Anthony</w:t>
      </w:r>
      <w:proofErr w:type="gramEnd"/>
      <w:r>
        <w:rPr>
          <w:vertAlign w:val="baseline"/>
        </w:rPr>
        <w:t xml:space="preserve"> Grafton, et al, eds., </w:t>
      </w:r>
      <w:r>
        <w:rPr>
          <w:i/>
          <w:vertAlign w:val="baseline"/>
        </w:rPr>
        <w:t>The Classical Tradition</w:t>
      </w:r>
      <w:r>
        <w:rPr>
          <w:vertAlign w:val="baseline"/>
        </w:rPr>
        <w:t xml:space="preserve"> (Cambridge:  The Belknap Press of Harvard University Press, 2010), 194-197.</w:t>
      </w:r>
    </w:p>
    <w:p w14:paraId="12104D50" w14:textId="77777777" w:rsidR="00C3508F" w:rsidRDefault="00C3508F" w:rsidP="00043193">
      <w:pPr>
        <w:pStyle w:val="EndnoteText"/>
        <w:ind w:firstLine="720"/>
      </w:pPr>
    </w:p>
  </w:endnote>
  <w:endnote w:id="24">
    <w:p w14:paraId="35F15283" w14:textId="77777777" w:rsidR="00C3508F" w:rsidRDefault="00C3508F" w:rsidP="00BA097C">
      <w:pPr>
        <w:pStyle w:val="EndnoteText"/>
        <w:ind w:firstLine="720"/>
        <w:rPr>
          <w:vertAlign w:val="baseline"/>
        </w:rPr>
      </w:pPr>
      <w:r>
        <w:rPr>
          <w:rStyle w:val="EndnoteReference"/>
        </w:rPr>
        <w:endnoteRef/>
      </w:r>
      <w:r>
        <w:rPr>
          <w:vertAlign w:val="baseline"/>
        </w:rPr>
        <w:t xml:space="preserve">  </w:t>
      </w:r>
      <w:proofErr w:type="spellStart"/>
      <w:proofErr w:type="gramStart"/>
      <w:r>
        <w:rPr>
          <w:vertAlign w:val="baseline"/>
        </w:rPr>
        <w:t>Dyck</w:t>
      </w:r>
      <w:proofErr w:type="spellEnd"/>
      <w:r>
        <w:rPr>
          <w:vertAlign w:val="baseline"/>
        </w:rPr>
        <w:t>, 41-46.</w:t>
      </w:r>
      <w:proofErr w:type="gramEnd"/>
    </w:p>
    <w:p w14:paraId="34FAC076" w14:textId="05F73CF7" w:rsidR="00C3508F" w:rsidRDefault="00C3508F" w:rsidP="00BA097C">
      <w:pPr>
        <w:pStyle w:val="EndnoteText"/>
        <w:ind w:firstLine="720"/>
      </w:pPr>
      <w:r>
        <w:t xml:space="preserve"> </w:t>
      </w:r>
    </w:p>
  </w:endnote>
  <w:endnote w:id="25">
    <w:p w14:paraId="1BAD2499" w14:textId="43E42ECE" w:rsidR="00C3508F" w:rsidRDefault="00C3508F" w:rsidP="00255A91">
      <w:pPr>
        <w:pStyle w:val="EndnoteText"/>
        <w:ind w:firstLine="720"/>
        <w:rPr>
          <w:vertAlign w:val="baseline"/>
        </w:rPr>
      </w:pPr>
      <w:r>
        <w:rPr>
          <w:rStyle w:val="EndnoteReference"/>
        </w:rPr>
        <w:endnoteRef/>
      </w:r>
      <w:r>
        <w:rPr>
          <w:vertAlign w:val="baseline"/>
        </w:rPr>
        <w:t xml:space="preserve">  </w:t>
      </w:r>
      <w:proofErr w:type="gramStart"/>
      <w:r>
        <w:rPr>
          <w:vertAlign w:val="baseline"/>
        </w:rPr>
        <w:t>Walsh, xxxv.</w:t>
      </w:r>
      <w:proofErr w:type="gramEnd"/>
    </w:p>
    <w:p w14:paraId="0763CF03" w14:textId="5C61B4D5" w:rsidR="00C3508F" w:rsidRDefault="00C3508F" w:rsidP="00255A91">
      <w:pPr>
        <w:pStyle w:val="EndnoteText"/>
        <w:ind w:firstLine="720"/>
      </w:pPr>
      <w:r>
        <w:t xml:space="preserve"> </w:t>
      </w:r>
    </w:p>
  </w:endnote>
  <w:endnote w:id="26">
    <w:p w14:paraId="335F949D" w14:textId="77777777" w:rsidR="00C3508F" w:rsidRDefault="00C3508F" w:rsidP="004E652A">
      <w:pPr>
        <w:pStyle w:val="EndnoteText"/>
        <w:ind w:firstLine="720"/>
        <w:rPr>
          <w:vertAlign w:val="baseline"/>
        </w:rPr>
      </w:pPr>
      <w:r>
        <w:rPr>
          <w:rStyle w:val="EndnoteReference"/>
        </w:rPr>
        <w:endnoteRef/>
      </w:r>
      <w:r>
        <w:t xml:space="preserve">  </w:t>
      </w:r>
      <w:r>
        <w:rPr>
          <w:vertAlign w:val="baseline"/>
        </w:rPr>
        <w:t xml:space="preserve">Carl J. Richard, </w:t>
      </w:r>
      <w:r>
        <w:rPr>
          <w:i/>
          <w:vertAlign w:val="baseline"/>
        </w:rPr>
        <w:t>Twelve Greeks and Romans who Changed the World</w:t>
      </w:r>
      <w:r>
        <w:rPr>
          <w:vertAlign w:val="baseline"/>
        </w:rPr>
        <w:t xml:space="preserve"> (Lanham:  </w:t>
      </w:r>
      <w:proofErr w:type="spellStart"/>
      <w:r>
        <w:rPr>
          <w:vertAlign w:val="baseline"/>
        </w:rPr>
        <w:t>Rowman</w:t>
      </w:r>
      <w:proofErr w:type="spellEnd"/>
      <w:r>
        <w:rPr>
          <w:vertAlign w:val="baseline"/>
        </w:rPr>
        <w:t xml:space="preserve"> &amp; Littlefield, 2003), 185.</w:t>
      </w:r>
    </w:p>
    <w:p w14:paraId="0D2D7DDD" w14:textId="74D520AD" w:rsidR="00C3508F" w:rsidRDefault="00C3508F" w:rsidP="004E652A">
      <w:pPr>
        <w:pStyle w:val="EndnoteText"/>
        <w:ind w:firstLine="720"/>
      </w:pPr>
      <w:r>
        <w:t xml:space="preserve"> </w:t>
      </w:r>
    </w:p>
  </w:endnote>
  <w:endnote w:id="27">
    <w:p w14:paraId="1F73C2E0" w14:textId="563D7013" w:rsidR="00C3508F" w:rsidRDefault="00C3508F" w:rsidP="00204F19">
      <w:pPr>
        <w:pStyle w:val="EndnoteText"/>
        <w:ind w:firstLine="720"/>
      </w:pPr>
      <w:r>
        <w:rPr>
          <w:rStyle w:val="EndnoteReference"/>
        </w:rPr>
        <w:endnoteRef/>
      </w:r>
      <w:r>
        <w:t xml:space="preserve">  </w:t>
      </w:r>
      <w:proofErr w:type="gramStart"/>
      <w:r>
        <w:rPr>
          <w:vertAlign w:val="baseline"/>
        </w:rPr>
        <w:t>Walsh, xlii-xliv.</w:t>
      </w:r>
      <w:proofErr w:type="gramEnd"/>
      <w:r>
        <w:t xml:space="preserve"> </w:t>
      </w:r>
    </w:p>
    <w:p w14:paraId="2BC71644" w14:textId="77777777" w:rsidR="00C3508F" w:rsidRDefault="00C3508F" w:rsidP="00204F19">
      <w:pPr>
        <w:pStyle w:val="EndnoteText"/>
        <w:ind w:firstLine="720"/>
      </w:pPr>
    </w:p>
  </w:endnote>
  <w:endnote w:id="28">
    <w:p w14:paraId="5926C134" w14:textId="77777777" w:rsidR="00C3508F" w:rsidRDefault="00C3508F" w:rsidP="00204F19">
      <w:pPr>
        <w:pStyle w:val="EndnoteText"/>
        <w:ind w:firstLine="720"/>
        <w:rPr>
          <w:vertAlign w:val="baseline"/>
        </w:rPr>
      </w:pPr>
      <w:r>
        <w:rPr>
          <w:rStyle w:val="EndnoteReference"/>
        </w:rPr>
        <w:endnoteRef/>
      </w:r>
      <w:r>
        <w:rPr>
          <w:vertAlign w:val="baseline"/>
        </w:rPr>
        <w:t xml:space="preserve">  Francesco Petrarch, “On His Own Ignorance and That of Many Others,” in </w:t>
      </w:r>
      <w:r>
        <w:rPr>
          <w:i/>
          <w:vertAlign w:val="baseline"/>
        </w:rPr>
        <w:t>Western Heritage:  A Reader</w:t>
      </w:r>
      <w:r>
        <w:rPr>
          <w:vertAlign w:val="baseline"/>
        </w:rPr>
        <w:t xml:space="preserve"> (Hillsdale:  Hillsdale College Press, 2010), 538-539.</w:t>
      </w:r>
    </w:p>
    <w:p w14:paraId="5937DB4A" w14:textId="3ECEDBCE" w:rsidR="00C3508F" w:rsidRDefault="00C3508F" w:rsidP="00204F19">
      <w:pPr>
        <w:pStyle w:val="EndnoteText"/>
        <w:ind w:firstLine="720"/>
      </w:pPr>
      <w:r>
        <w:t xml:space="preserve"> </w:t>
      </w:r>
    </w:p>
  </w:endnote>
  <w:endnote w:id="29">
    <w:p w14:paraId="0D2EDBB4" w14:textId="5F1D9FBD" w:rsidR="00C3508F" w:rsidRDefault="00C3508F" w:rsidP="00A740FD">
      <w:pPr>
        <w:pStyle w:val="EndnoteText"/>
        <w:ind w:firstLine="720"/>
        <w:rPr>
          <w:vertAlign w:val="baseline"/>
        </w:rPr>
      </w:pPr>
      <w:r>
        <w:rPr>
          <w:rStyle w:val="EndnoteReference"/>
        </w:rPr>
        <w:endnoteRef/>
      </w:r>
      <w:r>
        <w:rPr>
          <w:vertAlign w:val="baseline"/>
        </w:rPr>
        <w:t xml:space="preserve">  </w:t>
      </w:r>
      <w:r>
        <w:t xml:space="preserve"> </w:t>
      </w:r>
      <w:proofErr w:type="gramStart"/>
      <w:r>
        <w:rPr>
          <w:vertAlign w:val="baseline"/>
        </w:rPr>
        <w:t>Scheck, 414.</w:t>
      </w:r>
      <w:proofErr w:type="gramEnd"/>
    </w:p>
    <w:p w14:paraId="29593A48" w14:textId="77777777" w:rsidR="00C3508F" w:rsidRPr="00A740FD" w:rsidRDefault="00C3508F" w:rsidP="00A740FD">
      <w:pPr>
        <w:pStyle w:val="EndnoteText"/>
        <w:ind w:firstLine="720"/>
        <w:rPr>
          <w:vertAlign w:val="baseline"/>
        </w:rPr>
      </w:pPr>
    </w:p>
  </w:endnote>
  <w:endnote w:id="30">
    <w:p w14:paraId="0218C923" w14:textId="28D73383" w:rsidR="00C3508F" w:rsidRDefault="00C3508F" w:rsidP="00A92910">
      <w:pPr>
        <w:pStyle w:val="EndnoteText"/>
        <w:ind w:firstLine="720"/>
        <w:rPr>
          <w:color w:val="000000"/>
          <w:vertAlign w:val="baseline"/>
        </w:rPr>
      </w:pPr>
      <w:r>
        <w:rPr>
          <w:rStyle w:val="EndnoteReference"/>
        </w:rPr>
        <w:endnoteRef/>
      </w:r>
      <w:r>
        <w:rPr>
          <w:vertAlign w:val="baseline"/>
        </w:rPr>
        <w:t xml:space="preserve"> Mark A. Kalthoff, “The Usefulness of Useless Knowledge:  Defending Classical Liberal Education from Melanchthon to Newman,”</w:t>
      </w:r>
      <w:r w:rsidRPr="00A92910">
        <w:rPr>
          <w:vertAlign w:val="baseline"/>
        </w:rPr>
        <w:t xml:space="preserve"> </w:t>
      </w:r>
      <w:r w:rsidRPr="00A92910">
        <w:rPr>
          <w:i/>
          <w:color w:val="000000"/>
          <w:vertAlign w:val="baseline"/>
        </w:rPr>
        <w:t>Logia: A Journal of Lutheran Theology</w:t>
      </w:r>
      <w:r w:rsidRPr="00A92910">
        <w:rPr>
          <w:color w:val="000000"/>
          <w:vertAlign w:val="baseline"/>
        </w:rPr>
        <w:t xml:space="preserve"> 21,</w:t>
      </w:r>
      <w:r>
        <w:rPr>
          <w:color w:val="000000"/>
          <w:vertAlign w:val="baseline"/>
        </w:rPr>
        <w:t xml:space="preserve"> no. 2 (Eastertide 2012):  51</w:t>
      </w:r>
      <w:proofErr w:type="gramStart"/>
      <w:r>
        <w:rPr>
          <w:color w:val="000000"/>
          <w:vertAlign w:val="baseline"/>
        </w:rPr>
        <w:t>;</w:t>
      </w:r>
      <w:proofErr w:type="gramEnd"/>
      <w:r>
        <w:rPr>
          <w:color w:val="000000"/>
          <w:vertAlign w:val="baseline"/>
        </w:rPr>
        <w:t xml:space="preserve"> </w:t>
      </w:r>
      <w:r>
        <w:rPr>
          <w:vertAlign w:val="baseline"/>
        </w:rPr>
        <w:t>Walsh, xliv.</w:t>
      </w:r>
    </w:p>
    <w:p w14:paraId="5EB70165" w14:textId="77777777" w:rsidR="00C3508F" w:rsidRPr="00A92910" w:rsidRDefault="00C3508F" w:rsidP="00A92910">
      <w:pPr>
        <w:pStyle w:val="EndnoteText"/>
        <w:ind w:firstLine="720"/>
      </w:pPr>
    </w:p>
  </w:endnote>
  <w:endnote w:id="31">
    <w:p w14:paraId="1AE35D58" w14:textId="5366A773" w:rsidR="00C3508F" w:rsidRDefault="00C3508F" w:rsidP="00C3508F">
      <w:pPr>
        <w:pStyle w:val="EndnoteText"/>
        <w:ind w:firstLine="720"/>
        <w:rPr>
          <w:vertAlign w:val="baseline"/>
        </w:rPr>
      </w:pPr>
      <w:r>
        <w:rPr>
          <w:rStyle w:val="EndnoteReference"/>
        </w:rPr>
        <w:endnoteRef/>
      </w:r>
      <w:r>
        <w:rPr>
          <w:vertAlign w:val="baseline"/>
        </w:rPr>
        <w:t xml:space="preserve">  Philipp Melanchthon, “Preface to Cicero’s </w:t>
      </w:r>
      <w:r>
        <w:rPr>
          <w:i/>
          <w:vertAlign w:val="baseline"/>
        </w:rPr>
        <w:t>On Duties,</w:t>
      </w:r>
      <w:r>
        <w:rPr>
          <w:vertAlign w:val="baseline"/>
        </w:rPr>
        <w:t xml:space="preserve">” in Sachiko </w:t>
      </w:r>
      <w:proofErr w:type="spellStart"/>
      <w:r>
        <w:rPr>
          <w:vertAlign w:val="baseline"/>
        </w:rPr>
        <w:t>Kusukawa</w:t>
      </w:r>
      <w:proofErr w:type="spellEnd"/>
      <w:r>
        <w:rPr>
          <w:vertAlign w:val="baseline"/>
        </w:rPr>
        <w:t xml:space="preserve">, ed., </w:t>
      </w:r>
      <w:r>
        <w:rPr>
          <w:i/>
          <w:vertAlign w:val="baseline"/>
        </w:rPr>
        <w:t>Philipp Melanchthon: Orations on Philosophy and Education</w:t>
      </w:r>
      <w:r>
        <w:rPr>
          <w:vertAlign w:val="baseline"/>
        </w:rPr>
        <w:t xml:space="preserve"> (New York:  Cambridge University Press, 1999), 81.  </w:t>
      </w:r>
    </w:p>
    <w:p w14:paraId="5C782284" w14:textId="1F80B3A4" w:rsidR="00C3508F" w:rsidRDefault="00C3508F" w:rsidP="00C3508F">
      <w:pPr>
        <w:pStyle w:val="EndnoteText"/>
        <w:ind w:firstLine="720"/>
      </w:pPr>
      <w:r>
        <w:t xml:space="preserve"> </w:t>
      </w:r>
    </w:p>
  </w:endnote>
  <w:endnote w:id="32">
    <w:p w14:paraId="055ECF74" w14:textId="24C2B459" w:rsidR="00C3508F" w:rsidRDefault="00C3508F" w:rsidP="00BA097C">
      <w:pPr>
        <w:pStyle w:val="EndnoteText"/>
        <w:ind w:firstLine="720"/>
      </w:pPr>
      <w:r>
        <w:rPr>
          <w:rStyle w:val="EndnoteReference"/>
        </w:rPr>
        <w:endnoteRef/>
      </w:r>
      <w:r>
        <w:rPr>
          <w:vertAlign w:val="baseline"/>
        </w:rPr>
        <w:t xml:space="preserve">  The American founding fathers were especially taken with Cicero.  See</w:t>
      </w:r>
      <w:r w:rsidR="002200E6">
        <w:rPr>
          <w:vertAlign w:val="baseline"/>
        </w:rPr>
        <w:t xml:space="preserve">, for example, </w:t>
      </w:r>
      <w:r>
        <w:rPr>
          <w:vertAlign w:val="baseline"/>
        </w:rPr>
        <w:t xml:space="preserve">Carl J. Richard, </w:t>
      </w:r>
      <w:r>
        <w:rPr>
          <w:i/>
          <w:vertAlign w:val="baseline"/>
        </w:rPr>
        <w:t>Greeks &amp; Romans Bearing Gifts:  How the Ancients Inspired the Founding Fathers</w:t>
      </w:r>
      <w:r>
        <w:rPr>
          <w:vertAlign w:val="baseline"/>
        </w:rPr>
        <w:t xml:space="preserve"> (Lanham:  Roman &amp; Littlefield), 8-12</w:t>
      </w:r>
      <w:proofErr w:type="gramStart"/>
      <w:r>
        <w:rPr>
          <w:vertAlign w:val="baseline"/>
        </w:rPr>
        <w:t>;</w:t>
      </w:r>
      <w:proofErr w:type="gramEnd"/>
      <w:r>
        <w:rPr>
          <w:vertAlign w:val="baseline"/>
        </w:rPr>
        <w:t xml:space="preserve"> 152-155.</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Optima ExtraBlack">
    <w:panose1 w:val="02000B03000000020004"/>
    <w:charset w:val="00"/>
    <w:family w:val="auto"/>
    <w:pitch w:val="variable"/>
    <w:sig w:usb0="80000067" w:usb1="00000000" w:usb2="00000000" w:usb3="00000000" w:csb0="0003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48E5B" w14:textId="77777777" w:rsidR="00C3508F" w:rsidRDefault="00C3508F" w:rsidP="00E5624B">
      <w:r>
        <w:separator/>
      </w:r>
    </w:p>
  </w:footnote>
  <w:footnote w:type="continuationSeparator" w:id="0">
    <w:p w14:paraId="444C2593" w14:textId="77777777" w:rsidR="00C3508F" w:rsidRDefault="00C3508F" w:rsidP="00E56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0E2C" w14:textId="77777777" w:rsidR="00C3508F" w:rsidRDefault="00C3508F" w:rsidP="00B556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4FAF9" w14:textId="77777777" w:rsidR="00C3508F" w:rsidRDefault="00C3508F" w:rsidP="002275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ACD7" w14:textId="77777777" w:rsidR="00C3508F" w:rsidRPr="004D63B6" w:rsidRDefault="00C3508F" w:rsidP="00B5568D">
    <w:pPr>
      <w:pStyle w:val="Header"/>
      <w:framePr w:wrap="around" w:vAnchor="text" w:hAnchor="margin" w:xAlign="right" w:y="1"/>
      <w:rPr>
        <w:rStyle w:val="PageNumber"/>
        <w:vertAlign w:val="baseline"/>
      </w:rPr>
    </w:pPr>
    <w:r w:rsidRPr="004D63B6">
      <w:rPr>
        <w:rStyle w:val="PageNumber"/>
        <w:vertAlign w:val="baseline"/>
      </w:rPr>
      <w:fldChar w:fldCharType="begin"/>
    </w:r>
    <w:r w:rsidRPr="004D63B6">
      <w:rPr>
        <w:rStyle w:val="PageNumber"/>
        <w:vertAlign w:val="baseline"/>
      </w:rPr>
      <w:instrText xml:space="preserve">PAGE  </w:instrText>
    </w:r>
    <w:r w:rsidRPr="004D63B6">
      <w:rPr>
        <w:rStyle w:val="PageNumber"/>
        <w:vertAlign w:val="baseline"/>
      </w:rPr>
      <w:fldChar w:fldCharType="separate"/>
    </w:r>
    <w:r w:rsidR="00D06817">
      <w:rPr>
        <w:rStyle w:val="PageNumber"/>
        <w:noProof/>
        <w:vertAlign w:val="baseline"/>
      </w:rPr>
      <w:t>11</w:t>
    </w:r>
    <w:r w:rsidRPr="004D63B6">
      <w:rPr>
        <w:rStyle w:val="PageNumber"/>
        <w:vertAlign w:val="baseline"/>
      </w:rPr>
      <w:fldChar w:fldCharType="end"/>
    </w:r>
  </w:p>
  <w:p w14:paraId="6F855989" w14:textId="4A0198C2" w:rsidR="00C3508F" w:rsidRPr="0022753F" w:rsidRDefault="00C3508F" w:rsidP="0022753F">
    <w:pPr>
      <w:pStyle w:val="Header"/>
      <w:ind w:right="360"/>
      <w:rPr>
        <w:vertAlign w:val="baseline"/>
      </w:rPr>
    </w:pPr>
    <w:r>
      <w:rPr>
        <w:vertAlign w:val="baseline"/>
      </w:rPr>
      <w:tab/>
    </w:r>
    <w:r>
      <w:rPr>
        <w:vertAlign w:val="baselin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57"/>
    <w:rsid w:val="00001100"/>
    <w:rsid w:val="00016C34"/>
    <w:rsid w:val="00036436"/>
    <w:rsid w:val="00043193"/>
    <w:rsid w:val="00055ED0"/>
    <w:rsid w:val="000614CB"/>
    <w:rsid w:val="000734C4"/>
    <w:rsid w:val="000811ED"/>
    <w:rsid w:val="00156BC0"/>
    <w:rsid w:val="00171017"/>
    <w:rsid w:val="00192C61"/>
    <w:rsid w:val="001C08B6"/>
    <w:rsid w:val="001C2418"/>
    <w:rsid w:val="001F0697"/>
    <w:rsid w:val="00204F19"/>
    <w:rsid w:val="002200E6"/>
    <w:rsid w:val="0022753F"/>
    <w:rsid w:val="0023121E"/>
    <w:rsid w:val="00255A91"/>
    <w:rsid w:val="00284562"/>
    <w:rsid w:val="00347EF1"/>
    <w:rsid w:val="00395C42"/>
    <w:rsid w:val="003D569C"/>
    <w:rsid w:val="003D717B"/>
    <w:rsid w:val="003E3E89"/>
    <w:rsid w:val="003E69BA"/>
    <w:rsid w:val="00406875"/>
    <w:rsid w:val="00412514"/>
    <w:rsid w:val="00413461"/>
    <w:rsid w:val="00421557"/>
    <w:rsid w:val="0045160D"/>
    <w:rsid w:val="00473023"/>
    <w:rsid w:val="00494F34"/>
    <w:rsid w:val="004D63B6"/>
    <w:rsid w:val="004E652A"/>
    <w:rsid w:val="00500B09"/>
    <w:rsid w:val="00505F79"/>
    <w:rsid w:val="00555B2A"/>
    <w:rsid w:val="005718AD"/>
    <w:rsid w:val="00575B33"/>
    <w:rsid w:val="005E0019"/>
    <w:rsid w:val="00735D62"/>
    <w:rsid w:val="00735E12"/>
    <w:rsid w:val="00785DF9"/>
    <w:rsid w:val="00792F29"/>
    <w:rsid w:val="007B2F9E"/>
    <w:rsid w:val="007C55F3"/>
    <w:rsid w:val="007E19D2"/>
    <w:rsid w:val="007F065B"/>
    <w:rsid w:val="0082447C"/>
    <w:rsid w:val="008635F0"/>
    <w:rsid w:val="00883924"/>
    <w:rsid w:val="008962FA"/>
    <w:rsid w:val="008D37A6"/>
    <w:rsid w:val="008D4C72"/>
    <w:rsid w:val="008E106D"/>
    <w:rsid w:val="008F3C71"/>
    <w:rsid w:val="00902265"/>
    <w:rsid w:val="009064CE"/>
    <w:rsid w:val="00912769"/>
    <w:rsid w:val="00944A4E"/>
    <w:rsid w:val="0096752A"/>
    <w:rsid w:val="009D7234"/>
    <w:rsid w:val="00A27935"/>
    <w:rsid w:val="00A62381"/>
    <w:rsid w:val="00A740FD"/>
    <w:rsid w:val="00A919D0"/>
    <w:rsid w:val="00A92821"/>
    <w:rsid w:val="00A92910"/>
    <w:rsid w:val="00AA6612"/>
    <w:rsid w:val="00AF7603"/>
    <w:rsid w:val="00B14D1F"/>
    <w:rsid w:val="00B509F2"/>
    <w:rsid w:val="00B5568D"/>
    <w:rsid w:val="00B907A3"/>
    <w:rsid w:val="00BA097C"/>
    <w:rsid w:val="00BC7325"/>
    <w:rsid w:val="00BD75B1"/>
    <w:rsid w:val="00C31DA1"/>
    <w:rsid w:val="00C3508F"/>
    <w:rsid w:val="00C712C1"/>
    <w:rsid w:val="00C90D85"/>
    <w:rsid w:val="00CB6B28"/>
    <w:rsid w:val="00CC6C9F"/>
    <w:rsid w:val="00CE4B03"/>
    <w:rsid w:val="00D06817"/>
    <w:rsid w:val="00D8575E"/>
    <w:rsid w:val="00D910A4"/>
    <w:rsid w:val="00DA35BF"/>
    <w:rsid w:val="00DC0697"/>
    <w:rsid w:val="00E51E3E"/>
    <w:rsid w:val="00E5624B"/>
    <w:rsid w:val="00E62084"/>
    <w:rsid w:val="00E64DD5"/>
    <w:rsid w:val="00E67E57"/>
    <w:rsid w:val="00E71972"/>
    <w:rsid w:val="00E94521"/>
    <w:rsid w:val="00E95929"/>
    <w:rsid w:val="00F25D4C"/>
    <w:rsid w:val="00F55C71"/>
    <w:rsid w:val="00F628EE"/>
    <w:rsid w:val="00FC12F8"/>
    <w:rsid w:val="00FE21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5624B"/>
  </w:style>
  <w:style w:type="character" w:customStyle="1" w:styleId="EndnoteTextChar">
    <w:name w:val="Endnote Text Char"/>
    <w:basedOn w:val="DefaultParagraphFont"/>
    <w:link w:val="EndnoteText"/>
    <w:uiPriority w:val="99"/>
    <w:rsid w:val="00E5624B"/>
  </w:style>
  <w:style w:type="character" w:styleId="EndnoteReference">
    <w:name w:val="endnote reference"/>
    <w:basedOn w:val="DefaultParagraphFont"/>
    <w:uiPriority w:val="99"/>
    <w:unhideWhenUsed/>
    <w:rsid w:val="00E5624B"/>
    <w:rPr>
      <w:vertAlign w:val="superscript"/>
    </w:rPr>
  </w:style>
  <w:style w:type="paragraph" w:styleId="Header">
    <w:name w:val="header"/>
    <w:basedOn w:val="Normal"/>
    <w:link w:val="HeaderChar"/>
    <w:uiPriority w:val="99"/>
    <w:unhideWhenUsed/>
    <w:rsid w:val="0022753F"/>
    <w:pPr>
      <w:tabs>
        <w:tab w:val="center" w:pos="4320"/>
        <w:tab w:val="right" w:pos="8640"/>
      </w:tabs>
    </w:pPr>
  </w:style>
  <w:style w:type="character" w:customStyle="1" w:styleId="HeaderChar">
    <w:name w:val="Header Char"/>
    <w:basedOn w:val="DefaultParagraphFont"/>
    <w:link w:val="Header"/>
    <w:uiPriority w:val="99"/>
    <w:rsid w:val="0022753F"/>
  </w:style>
  <w:style w:type="paragraph" w:styleId="Footer">
    <w:name w:val="footer"/>
    <w:basedOn w:val="Normal"/>
    <w:link w:val="FooterChar"/>
    <w:uiPriority w:val="99"/>
    <w:unhideWhenUsed/>
    <w:rsid w:val="0022753F"/>
    <w:pPr>
      <w:tabs>
        <w:tab w:val="center" w:pos="4320"/>
        <w:tab w:val="right" w:pos="8640"/>
      </w:tabs>
    </w:pPr>
  </w:style>
  <w:style w:type="character" w:customStyle="1" w:styleId="FooterChar">
    <w:name w:val="Footer Char"/>
    <w:basedOn w:val="DefaultParagraphFont"/>
    <w:link w:val="Footer"/>
    <w:uiPriority w:val="99"/>
    <w:rsid w:val="0022753F"/>
  </w:style>
  <w:style w:type="character" w:styleId="PageNumber">
    <w:name w:val="page number"/>
    <w:basedOn w:val="DefaultParagraphFont"/>
    <w:uiPriority w:val="99"/>
    <w:semiHidden/>
    <w:unhideWhenUsed/>
    <w:rsid w:val="00227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5624B"/>
  </w:style>
  <w:style w:type="character" w:customStyle="1" w:styleId="EndnoteTextChar">
    <w:name w:val="Endnote Text Char"/>
    <w:basedOn w:val="DefaultParagraphFont"/>
    <w:link w:val="EndnoteText"/>
    <w:uiPriority w:val="99"/>
    <w:rsid w:val="00E5624B"/>
  </w:style>
  <w:style w:type="character" w:styleId="EndnoteReference">
    <w:name w:val="endnote reference"/>
    <w:basedOn w:val="DefaultParagraphFont"/>
    <w:uiPriority w:val="99"/>
    <w:unhideWhenUsed/>
    <w:rsid w:val="00E5624B"/>
    <w:rPr>
      <w:vertAlign w:val="superscript"/>
    </w:rPr>
  </w:style>
  <w:style w:type="paragraph" w:styleId="Header">
    <w:name w:val="header"/>
    <w:basedOn w:val="Normal"/>
    <w:link w:val="HeaderChar"/>
    <w:uiPriority w:val="99"/>
    <w:unhideWhenUsed/>
    <w:rsid w:val="0022753F"/>
    <w:pPr>
      <w:tabs>
        <w:tab w:val="center" w:pos="4320"/>
        <w:tab w:val="right" w:pos="8640"/>
      </w:tabs>
    </w:pPr>
  </w:style>
  <w:style w:type="character" w:customStyle="1" w:styleId="HeaderChar">
    <w:name w:val="Header Char"/>
    <w:basedOn w:val="DefaultParagraphFont"/>
    <w:link w:val="Header"/>
    <w:uiPriority w:val="99"/>
    <w:rsid w:val="0022753F"/>
  </w:style>
  <w:style w:type="paragraph" w:styleId="Footer">
    <w:name w:val="footer"/>
    <w:basedOn w:val="Normal"/>
    <w:link w:val="FooterChar"/>
    <w:uiPriority w:val="99"/>
    <w:unhideWhenUsed/>
    <w:rsid w:val="0022753F"/>
    <w:pPr>
      <w:tabs>
        <w:tab w:val="center" w:pos="4320"/>
        <w:tab w:val="right" w:pos="8640"/>
      </w:tabs>
    </w:pPr>
  </w:style>
  <w:style w:type="character" w:customStyle="1" w:styleId="FooterChar">
    <w:name w:val="Footer Char"/>
    <w:basedOn w:val="DefaultParagraphFont"/>
    <w:link w:val="Footer"/>
    <w:uiPriority w:val="99"/>
    <w:rsid w:val="0022753F"/>
  </w:style>
  <w:style w:type="character" w:styleId="PageNumber">
    <w:name w:val="page number"/>
    <w:basedOn w:val="DefaultParagraphFont"/>
    <w:uiPriority w:val="99"/>
    <w:semiHidden/>
    <w:unhideWhenUsed/>
    <w:rsid w:val="0022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7D61-E1FF-8C41-8EC6-1F7ECE0E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11</Pages>
  <Words>2583</Words>
  <Characters>14729</Characters>
  <Application>Microsoft Macintosh Word</Application>
  <DocSecurity>0</DocSecurity>
  <Lines>122</Lines>
  <Paragraphs>34</Paragraphs>
  <ScaleCrop>false</ScaleCrop>
  <Company>Hillsdale College</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Kalthoff</dc:creator>
  <cp:keywords/>
  <dc:description/>
  <cp:lastModifiedBy>Mark Kalthoff</cp:lastModifiedBy>
  <cp:revision>29</cp:revision>
  <cp:lastPrinted>2014-09-18T17:42:00Z</cp:lastPrinted>
  <dcterms:created xsi:type="dcterms:W3CDTF">2014-09-05T14:59:00Z</dcterms:created>
  <dcterms:modified xsi:type="dcterms:W3CDTF">2014-09-18T17:42:00Z</dcterms:modified>
</cp:coreProperties>
</file>