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39" w:rsidRPr="008F3839" w:rsidRDefault="00910836" w:rsidP="0063447C">
      <w:pPr>
        <w:spacing w:line="360" w:lineRule="auto"/>
      </w:pPr>
      <w:r>
        <w:tab/>
      </w:r>
      <w:r w:rsidR="008F3839">
        <w:t>T</w:t>
      </w:r>
      <w:r w:rsidR="00710292">
        <w:t xml:space="preserve">his </w:t>
      </w:r>
      <w:r w:rsidR="008F3839">
        <w:t>paper is</w:t>
      </w:r>
      <w:r w:rsidR="00710292">
        <w:t xml:space="preserve"> scheduled to be read at a panel</w:t>
      </w:r>
      <w:r w:rsidR="008F3839">
        <w:t xml:space="preserve"> titled “Why Christians Read Great Books,” and Basil has an answer for that question. I suppose there are lots of answers we could come up with</w:t>
      </w:r>
      <w:r w:rsidR="00710292">
        <w:t xml:space="preserve"> to that question, though</w:t>
      </w:r>
      <w:r w:rsidR="008F3839">
        <w:t xml:space="preserve">. Why do Christians read great books? Well, because </w:t>
      </w:r>
      <w:r w:rsidR="00DB6334">
        <w:t>Christians</w:t>
      </w:r>
      <w:r w:rsidR="008F3839">
        <w:t xml:space="preserve"> are literate. </w:t>
      </w:r>
      <w:proofErr w:type="gramStart"/>
      <w:r w:rsidR="008F3839">
        <w:t xml:space="preserve">And because the books really </w:t>
      </w:r>
      <w:r w:rsidR="008F3839">
        <w:rPr>
          <w:i/>
        </w:rPr>
        <w:t>are</w:t>
      </w:r>
      <w:r w:rsidR="008F3839">
        <w:t xml:space="preserve"> great.</w:t>
      </w:r>
      <w:proofErr w:type="gramEnd"/>
      <w:r w:rsidR="008F3839">
        <w:t xml:space="preserve"> I could offer multiple testimonies to the good of core texts from </w:t>
      </w:r>
      <w:r w:rsidR="00520943">
        <w:t xml:space="preserve">my </w:t>
      </w:r>
      <w:r w:rsidR="008F3839">
        <w:t xml:space="preserve">own seat – but like Basil, I am not of a protestant tradition that expects testimonies, which may be better suited to our cocktail hour in any case. But the question intends to put the stress on the </w:t>
      </w:r>
      <w:r w:rsidR="008F3839">
        <w:rPr>
          <w:i/>
        </w:rPr>
        <w:t>Christian</w:t>
      </w:r>
      <w:r w:rsidR="008F3839">
        <w:t xml:space="preserve"> part of the sentence – why do </w:t>
      </w:r>
      <w:r w:rsidR="008F3839">
        <w:rPr>
          <w:i/>
        </w:rPr>
        <w:t>Christians</w:t>
      </w:r>
      <w:r w:rsidR="008F3839">
        <w:t xml:space="preserve"> read great books, which </w:t>
      </w:r>
      <w:r w:rsidR="00710292">
        <w:t xml:space="preserve">may </w:t>
      </w:r>
      <w:r w:rsidR="008F3839">
        <w:t xml:space="preserve">assume </w:t>
      </w:r>
      <w:r w:rsidR="00710292">
        <w:t xml:space="preserve">that there </w:t>
      </w:r>
      <w:r w:rsidR="008F3839">
        <w:t xml:space="preserve">in fact </w:t>
      </w:r>
      <w:r w:rsidR="00710292">
        <w:t>exists</w:t>
      </w:r>
      <w:r w:rsidR="008F3839">
        <w:t xml:space="preserve"> other stuff to read that</w:t>
      </w:r>
      <w:r w:rsidR="00710292">
        <w:t xml:space="preserve"> Christians would find more</w:t>
      </w:r>
      <w:r w:rsidR="008F3839">
        <w:t xml:space="preserve"> worthwhile, perhaps the scriptures or confessions or the canons of the most recent church council. </w:t>
      </w:r>
      <w:r w:rsidR="00710292">
        <w:t>But</w:t>
      </w:r>
      <w:r w:rsidR="008F3839">
        <w:t xml:space="preserve"> </w:t>
      </w:r>
      <w:r w:rsidR="00DB6334">
        <w:t>it</w:t>
      </w:r>
      <w:r w:rsidR="00710292">
        <w:t xml:space="preserve"> is</w:t>
      </w:r>
      <w:r w:rsidR="00DB6334">
        <w:t xml:space="preserve"> a good question – at least </w:t>
      </w:r>
      <w:r w:rsidR="008F3839">
        <w:t>Basil seems to assume the question is timely for his own 4</w:t>
      </w:r>
      <w:r w:rsidR="008F3839" w:rsidRPr="008F3839">
        <w:rPr>
          <w:vertAlign w:val="superscript"/>
        </w:rPr>
        <w:t>th</w:t>
      </w:r>
      <w:r w:rsidR="008F3839">
        <w:t xml:space="preserve"> century context, that his hearers / readers will be asking the same question, as he offers a defense of the classics that does more than rehabilitate them. He says you can’t understand the Bible without them. If you need to read the scriptures (and for Basil, incidentally, this is something you really need to do, because after all, your salvation is wrapped up in its pages!), then you have a holy obligation, a calling, a </w:t>
      </w:r>
      <w:r w:rsidR="008F3839" w:rsidRPr="008F3839">
        <w:rPr>
          <w:i/>
        </w:rPr>
        <w:t>vocation</w:t>
      </w:r>
      <w:r w:rsidR="008F3839">
        <w:t xml:space="preserve"> to read</w:t>
      </w:r>
      <w:r w:rsidR="00FA703B">
        <w:t xml:space="preserve"> the classics.</w:t>
      </w:r>
      <w:r w:rsidR="00DB6334">
        <w:t xml:space="preserve"> Without the illumination of the pagans to get the student gradually to step away from the darkness of ignorance, the light of scripture </w:t>
      </w:r>
      <w:r w:rsidR="00E00E17">
        <w:t>might</w:t>
      </w:r>
      <w:r w:rsidR="00DB6334">
        <w:t xml:space="preserve"> be too blinding; without the medicine of the Greek masterpieces, the inexperienced student’s constitution </w:t>
      </w:r>
      <w:r w:rsidR="00E00E17">
        <w:t>might</w:t>
      </w:r>
      <w:r w:rsidR="00DB6334">
        <w:t xml:space="preserve"> not be able to digest the Bible’s eternal truth. For Basil, the Christian reads g</w:t>
      </w:r>
      <w:r w:rsidR="00520943">
        <w:t>reat</w:t>
      </w:r>
      <w:r w:rsidR="00DB6334">
        <w:t xml:space="preserve"> books not because they’re fun, not because they’re western, and not because they’re true. He reads them because his eternal salvation depends on it. That’s holy business of the first order.</w:t>
      </w:r>
    </w:p>
    <w:p w:rsidR="0082381A" w:rsidRDefault="00910836" w:rsidP="0063447C">
      <w:pPr>
        <w:spacing w:line="360" w:lineRule="auto"/>
        <w:ind w:firstLine="720"/>
      </w:pPr>
      <w:r>
        <w:t xml:space="preserve">At </w:t>
      </w:r>
      <w:r w:rsidR="00DB6334">
        <w:t>the university I serve</w:t>
      </w:r>
      <w:r>
        <w:t xml:space="preserve">, we make efforts to impress on our students that </w:t>
      </w:r>
      <w:r w:rsidR="00DB6334">
        <w:t xml:space="preserve">they also are involved in holy business of the first order, that </w:t>
      </w:r>
      <w:r w:rsidR="00883BA3">
        <w:t>the work they are engaged in</w:t>
      </w:r>
      <w:r>
        <w:t xml:space="preserve"> is elevated to the height of no less than a holy calling from God, a vocation. Distinct from talk of vocation as </w:t>
      </w:r>
      <w:r w:rsidR="00DB6334">
        <w:t xml:space="preserve">is customary today, </w:t>
      </w:r>
      <w:r>
        <w:t>oriented towards career choices, professional studies, and business plans, our dilation upon vocation seeks</w:t>
      </w:r>
      <w:r w:rsidR="00DB6334">
        <w:t xml:space="preserve"> rather</w:t>
      </w:r>
      <w:r>
        <w:t xml:space="preserve"> to invest the student with a sense of not only responsibility and serious pursuit of the educational task at hand, but also with a reflection on personal worth, as well as the </w:t>
      </w:r>
      <w:r w:rsidR="00DB6334">
        <w:t>value</w:t>
      </w:r>
      <w:r w:rsidR="002D51F4">
        <w:t xml:space="preserve"> of </w:t>
      </w:r>
      <w:r>
        <w:t>education itself. It is not just the pre</w:t>
      </w:r>
      <w:r w:rsidR="001C509E">
        <w:t>-</w:t>
      </w:r>
      <w:r>
        <w:t xml:space="preserve">seminary student or church worker who possesses a holy calling from God; no, every mother and father, every sister and brother, every professor, student, caterer, resident assistant, janitor, and (get this!) administrator is placed into holy service in their situation to serve God and his kingdom by serving their neighbor. </w:t>
      </w:r>
    </w:p>
    <w:p w:rsidR="00910836" w:rsidRDefault="00910836" w:rsidP="0063447C">
      <w:pPr>
        <w:spacing w:line="360" w:lineRule="auto"/>
      </w:pPr>
      <w:r>
        <w:lastRenderedPageBreak/>
        <w:tab/>
        <w:t>This talk of holy callings urges students to see that the work of university education is sanctified by it being a facet of God’s overall work for the world, integrated wholly as his kingdom manifests itself in Church and Society. At a Christian church-related institution like our Lutheran campus, such a mission and ideological undercurrent is not surprising. Nor is the deliberate choice to offer courses in Core pairings such as freshman theology coupled with biology; freshman philosophy coupled with mathematics; sophomore history and literature working in tandem over four courses in two semesters to engage the big questions of What should we believe? How should we be governed? What is the nature of citizenship?</w:t>
      </w:r>
    </w:p>
    <w:p w:rsidR="00910836" w:rsidRDefault="00910836" w:rsidP="0063447C">
      <w:pPr>
        <w:spacing w:line="360" w:lineRule="auto"/>
      </w:pPr>
      <w:r>
        <w:tab/>
        <w:t xml:space="preserve">But for all that, the bulk of the </w:t>
      </w:r>
      <w:r w:rsidR="00BB7497">
        <w:t xml:space="preserve">ancient </w:t>
      </w:r>
      <w:r>
        <w:t xml:space="preserve">texts we expect students to digest in </w:t>
      </w:r>
      <w:r w:rsidR="00BB7497">
        <w:t xml:space="preserve">history and literature might seem scandalous to one of a more puritan stripe, one who’d blush at a tale from Herodotus, turn apoplectic at a fragment of Sappho, and positively reel at a whiff of Ovid. It strikes me that </w:t>
      </w:r>
      <w:r w:rsidR="001C509E">
        <w:t xml:space="preserve">on the one hand </w:t>
      </w:r>
      <w:r w:rsidR="00BB7497">
        <w:t>scholars of the Humanities are compelled always to have their tools sharpened and at the ready</w:t>
      </w:r>
      <w:r w:rsidR="00DB6334">
        <w:t>,</w:t>
      </w:r>
      <w:r w:rsidR="00BB7497">
        <w:t xml:space="preserve"> to offer a winsome defense of their discipline, particularly </w:t>
      </w:r>
      <w:r w:rsidR="00BB7497">
        <w:t xml:space="preserve">in </w:t>
      </w:r>
      <w:r w:rsidR="00BB7497">
        <w:t xml:space="preserve">a </w:t>
      </w:r>
      <w:r w:rsidR="00BB7497">
        <w:t>generation</w:t>
      </w:r>
      <w:r w:rsidR="00BB7497">
        <w:t xml:space="preserve"> that would measure </w:t>
      </w:r>
      <w:r w:rsidR="00DB6334">
        <w:t>the</w:t>
      </w:r>
      <w:r w:rsidR="00BB7497">
        <w:t xml:space="preserve"> worth</w:t>
      </w:r>
      <w:r w:rsidR="00DB6334">
        <w:t xml:space="preserve"> of great-books curricula</w:t>
      </w:r>
      <w:r w:rsidR="00BB7497">
        <w:t xml:space="preserve"> against the practical concerns of job placement and student debt. But </w:t>
      </w:r>
      <w:r w:rsidR="001C509E">
        <w:t xml:space="preserve">on the other hand, </w:t>
      </w:r>
      <w:r w:rsidR="000D0C0A">
        <w:t>how much more</w:t>
      </w:r>
      <w:r w:rsidR="00BB7497">
        <w:t xml:space="preserve">, </w:t>
      </w:r>
      <w:r w:rsidR="002D51F4">
        <w:t xml:space="preserve">for a Classicist </w:t>
      </w:r>
      <w:r w:rsidR="00BB7497">
        <w:t xml:space="preserve">at a church-related institution, </w:t>
      </w:r>
      <w:r w:rsidR="002D51F4">
        <w:t xml:space="preserve">the regents, donors, and </w:t>
      </w:r>
      <w:r w:rsidR="00BB7497">
        <w:t>mission orientation</w:t>
      </w:r>
      <w:r w:rsidR="002D51F4">
        <w:t xml:space="preserve"> of which</w:t>
      </w:r>
      <w:r w:rsidR="00BB7497">
        <w:t xml:space="preserve"> might at least grudgingly assent to a religious core, but reasonably question the more scu</w:t>
      </w:r>
      <w:r w:rsidR="000D0C0A">
        <w:t xml:space="preserve">rrilous bits of a </w:t>
      </w:r>
      <w:r w:rsidR="00544CD2">
        <w:t>secular</w:t>
      </w:r>
      <w:r w:rsidR="000D0C0A">
        <w:t xml:space="preserve"> one!</w:t>
      </w:r>
      <w:r w:rsidR="00BB7497">
        <w:t xml:space="preserve"> I’m not often asked to offer an </w:t>
      </w:r>
      <w:r w:rsidR="00BB7497">
        <w:rPr>
          <w:i/>
        </w:rPr>
        <w:t>apologia</w:t>
      </w:r>
      <w:r w:rsidR="00BB7497">
        <w:t xml:space="preserve"> for reading Homer, Virgil, Herodotus, or Euripides, but every once in a while I am</w:t>
      </w:r>
      <w:r w:rsidR="00237C2E">
        <w:t xml:space="preserve"> – that’s the professional hazard of the Classicist – and so it’s not enough simply to read the texts and enjoy the texts and share the good of those texts with others. S</w:t>
      </w:r>
      <w:r w:rsidR="00544CD2">
        <w:t>ome tool-sharpening is in order at the intersection of religious and secular cores.</w:t>
      </w:r>
    </w:p>
    <w:p w:rsidR="00237C2E" w:rsidRDefault="00237C2E" w:rsidP="0063447C">
      <w:pPr>
        <w:spacing w:line="360" w:lineRule="auto"/>
      </w:pPr>
      <w:r>
        <w:tab/>
        <w:t xml:space="preserve">And I think that’s what Basil was dealing with in large part in his address </w:t>
      </w:r>
      <w:r>
        <w:rPr>
          <w:i/>
        </w:rPr>
        <w:t>To the Young Men on the Proper Use of Greek Literature</w:t>
      </w:r>
      <w:r>
        <w:t xml:space="preserve">. </w:t>
      </w:r>
      <w:r w:rsidR="001C509E">
        <w:t xml:space="preserve">Grossly stated, Basil’s argument is that Homer and Hesiod need no rehabilitating – the classics are a mirror of the truth, so let’s get to reading them! </w:t>
      </w:r>
      <w:r w:rsidR="000D0C0A">
        <w:t>A m</w:t>
      </w:r>
      <w:r w:rsidR="001C509E">
        <w:t>ore finely tuned</w:t>
      </w:r>
      <w:r w:rsidR="000D0C0A">
        <w:t xml:space="preserve"> read reveals that</w:t>
      </w:r>
      <w:r w:rsidR="001C509E">
        <w:t xml:space="preserve"> Basil weaves in a theology of vocation that drives his hearer / reader to recognize that the best bits of the ancients are entirely consonant with the revelation of God in Christ</w:t>
      </w:r>
      <w:r w:rsidR="00BC48C4">
        <w:t xml:space="preserve">, and therefore underscore the call to the boys in his care: rejection of the world with its </w:t>
      </w:r>
      <w:proofErr w:type="spellStart"/>
      <w:r w:rsidR="00BC48C4">
        <w:t>pomps</w:t>
      </w:r>
      <w:proofErr w:type="spellEnd"/>
      <w:r w:rsidR="00BC48C4">
        <w:t xml:space="preserve"> and passions, mortification of desire (especially for money</w:t>
      </w:r>
      <w:r w:rsidR="002D51F4">
        <w:t xml:space="preserve"> and the luxuries they afford</w:t>
      </w:r>
      <w:r w:rsidR="00BC48C4">
        <w:t xml:space="preserve">), and a seeking after Truth with a capital T. The call to Basil’s audience is to practice virtue in what they do and what they read, and so attain to the truth, which he calls a </w:t>
      </w:r>
      <w:r w:rsidR="00BC48C4">
        <w:lastRenderedPageBreak/>
        <w:t>road that will lead them to “</w:t>
      </w:r>
      <w:r w:rsidR="00BC48C4">
        <w:rPr>
          <w:sz w:val="23"/>
          <w:szCs w:val="23"/>
        </w:rPr>
        <w:t>that long, undying age, of the extent of which there is no limit for the mind of man to grasp, any more than there is of the life immortal</w:t>
      </w:r>
      <w:r w:rsidR="00BC48C4">
        <w:t>.”</w:t>
      </w:r>
      <w:r w:rsidR="00BC48C4">
        <w:rPr>
          <w:rStyle w:val="FootnoteReference"/>
        </w:rPr>
        <w:footnoteReference w:id="1"/>
      </w:r>
    </w:p>
    <w:p w:rsidR="002D51F4" w:rsidRDefault="00544CD2" w:rsidP="0063447C">
      <w:pPr>
        <w:spacing w:line="360" w:lineRule="auto"/>
      </w:pPr>
      <w:r>
        <w:tab/>
        <w:t xml:space="preserve">But for all that, Basil yet sits uncomfortably in a curriculum </w:t>
      </w:r>
      <w:proofErr w:type="gramStart"/>
      <w:r>
        <w:t>that values</w:t>
      </w:r>
      <w:proofErr w:type="gramEnd"/>
      <w:r>
        <w:t xml:space="preserve"> reading great books. </w:t>
      </w:r>
      <w:proofErr w:type="gramStart"/>
      <w:r>
        <w:t>Because Basil’s approach is not just to read great books.</w:t>
      </w:r>
      <w:proofErr w:type="gramEnd"/>
      <w:r>
        <w:t xml:space="preserve"> Basil’s call is to read </w:t>
      </w:r>
      <w:r>
        <w:rPr>
          <w:i/>
        </w:rPr>
        <w:t>some</w:t>
      </w:r>
      <w:r>
        <w:t xml:space="preserve"> </w:t>
      </w:r>
      <w:r>
        <w:rPr>
          <w:i/>
        </w:rPr>
        <w:t>of</w:t>
      </w:r>
      <w:r>
        <w:t xml:space="preserve"> the great books. </w:t>
      </w:r>
      <w:proofErr w:type="gramStart"/>
      <w:r>
        <w:t>The bits that have value, anyhow.</w:t>
      </w:r>
      <w:proofErr w:type="gramEnd"/>
      <w:r>
        <w:t xml:space="preserve"> And the bits that have value are the bits that teach virtue. Not the scurrilous bits. Not the salacious stories. Not the teachings about the pagan gods and Herodotus’ lies </w:t>
      </w:r>
      <w:r w:rsidR="005C4496">
        <w:t xml:space="preserve">about “Lydian gold-dust or </w:t>
      </w:r>
      <w:r>
        <w:t>gold-</w:t>
      </w:r>
      <w:r w:rsidR="005C4496">
        <w:t>gathering</w:t>
      </w:r>
      <w:r>
        <w:t xml:space="preserve"> ants</w:t>
      </w:r>
      <w:r w:rsidR="002D51F4">
        <w:t>.</w:t>
      </w:r>
      <w:r w:rsidR="005C4496">
        <w:t>”</w:t>
      </w:r>
      <w:r w:rsidR="005C4496">
        <w:rPr>
          <w:rStyle w:val="FootnoteReference"/>
        </w:rPr>
        <w:footnoteReference w:id="2"/>
      </w:r>
      <w:r w:rsidR="0017032D">
        <w:t xml:space="preserve"> </w:t>
      </w:r>
      <w:r w:rsidR="002D51F4">
        <w:t>He instructs his students:</w:t>
      </w:r>
    </w:p>
    <w:p w:rsidR="002D51F4" w:rsidRDefault="002D51F4" w:rsidP="002D51F4">
      <w:pPr>
        <w:ind w:left="720"/>
      </w:pPr>
      <w:r>
        <w:rPr>
          <w:sz w:val="23"/>
          <w:szCs w:val="23"/>
        </w:rPr>
        <w:t>Y</w:t>
      </w:r>
      <w:r>
        <w:rPr>
          <w:sz w:val="23"/>
          <w:szCs w:val="23"/>
        </w:rPr>
        <w:t>ou should not unqualifiedly give over your minds to these men, as a ship is surrendered to the rudder, to follow whither they list, but that, while receiving whatever of value they have to offer, you yet recognize what it is wise to ignore. Accordingly, from this point on I shall take up and discuss the pagan writings, and how we are to discriminate among them.</w:t>
      </w:r>
      <w:r>
        <w:rPr>
          <w:rStyle w:val="FootnoteReference"/>
          <w:sz w:val="23"/>
          <w:szCs w:val="23"/>
        </w:rPr>
        <w:footnoteReference w:id="3"/>
      </w:r>
    </w:p>
    <w:p w:rsidR="002D51F4" w:rsidRDefault="002D51F4"/>
    <w:p w:rsidR="00544CD2" w:rsidRDefault="002D51F4" w:rsidP="0063447C">
      <w:pPr>
        <w:spacing w:line="360" w:lineRule="auto"/>
      </w:pPr>
      <w:r>
        <w:t xml:space="preserve">That discrimination looks for virtue, and </w:t>
      </w:r>
      <w:r w:rsidR="0017032D">
        <w:t>certainly not anything that promotes a life of</w:t>
      </w:r>
      <w:r>
        <w:t xml:space="preserve"> vice in</w:t>
      </w:r>
      <w:r w:rsidR="0017032D">
        <w:t xml:space="preserve"> luxury or greed. What counts here is not being well-read for the sake of being well-read or entertained, much less coming away with a comprehensive flavor of the Greek pagan world as a system to be imitated or respected, except insofar as it accords with truth consonant with scripture. Here virtue is </w:t>
      </w:r>
      <w:proofErr w:type="gramStart"/>
      <w:r w:rsidR="0017032D">
        <w:t>key</w:t>
      </w:r>
      <w:proofErr w:type="gramEnd"/>
      <w:r w:rsidR="0017032D">
        <w:t xml:space="preserve">, and </w:t>
      </w:r>
      <w:r w:rsidR="0017032D">
        <w:t>the student is directed to zero in on</w:t>
      </w:r>
      <w:r w:rsidR="00533567">
        <w:t xml:space="preserve"> narratives of virtuous </w:t>
      </w:r>
      <w:r w:rsidR="00533567">
        <w:t xml:space="preserve">lives </w:t>
      </w:r>
      <w:r w:rsidR="00533567">
        <w:t>and didactic texts</w:t>
      </w:r>
      <w:r w:rsidR="0017032D">
        <w:t xml:space="preserve">. Basil’s encouragement to read, combined with his salutary warning against the lies of pagan antiquity, is reminiscent of Socrates’ dilemma with poetry and philosophy, articulated for example in the extreme censorship of Plato’s </w:t>
      </w:r>
      <w:r w:rsidR="0017032D">
        <w:rPr>
          <w:i/>
        </w:rPr>
        <w:t>Republic</w:t>
      </w:r>
      <w:r w:rsidR="0017032D">
        <w:t xml:space="preserve"> 2 and 3. </w:t>
      </w:r>
      <w:r w:rsidR="00533567">
        <w:t>But whereas Pla</w:t>
      </w:r>
      <w:r w:rsidR="0036588D">
        <w:t>to has</w:t>
      </w:r>
      <w:r w:rsidR="00533567">
        <w:t xml:space="preserve"> Socrates describing a totalitarian utopia, Basil seems rather to be advocating a personal virtue, the payoff being eternal life, learned from the pages of scripture which become an open book through training in the virtues the pagans teach.</w:t>
      </w:r>
    </w:p>
    <w:p w:rsidR="0017032D" w:rsidRDefault="0017032D" w:rsidP="0063447C">
      <w:pPr>
        <w:spacing w:line="360" w:lineRule="auto"/>
      </w:pPr>
      <w:r>
        <w:tab/>
      </w:r>
      <w:r w:rsidR="00E0592B">
        <w:t xml:space="preserve">What’s to account for the strain of censorship Basil supports? Have we here a bowdlerizer, setting blinders on students who might appreciate the classics? Much to the contrary, Basil’s own historical situation informs us that we ought to consider this </w:t>
      </w:r>
      <w:r w:rsidR="005E089B">
        <w:t xml:space="preserve">entirely </w:t>
      </w:r>
      <w:r w:rsidR="00E0592B">
        <w:t xml:space="preserve">the other way round – </w:t>
      </w:r>
      <w:r w:rsidR="00E00E17">
        <w:t xml:space="preserve">that students of Christian curriculum, fresh in to a new school once the pagans </w:t>
      </w:r>
      <w:r w:rsidR="005E089B">
        <w:t xml:space="preserve">have </w:t>
      </w:r>
      <w:r w:rsidR="00E00E17">
        <w:t xml:space="preserve">left town, </w:t>
      </w:r>
      <w:r w:rsidR="00E0592B">
        <w:t>ought</w:t>
      </w:r>
      <w:r w:rsidR="00E00E17">
        <w:t xml:space="preserve"> not whine when further reading is added to their bibliography, when their master </w:t>
      </w:r>
      <w:r w:rsidR="00E0592B">
        <w:t>add</w:t>
      </w:r>
      <w:r w:rsidR="00E00E17">
        <w:t>s</w:t>
      </w:r>
      <w:r w:rsidR="00E0592B">
        <w:t xml:space="preserve"> to what they </w:t>
      </w:r>
      <w:r w:rsidR="00E00E17">
        <w:t xml:space="preserve">initially </w:t>
      </w:r>
      <w:r w:rsidR="00E0592B">
        <w:t>expect</w:t>
      </w:r>
      <w:r w:rsidR="00E00E17">
        <w:t>ed</w:t>
      </w:r>
      <w:r w:rsidR="00E0592B">
        <w:t xml:space="preserve"> to read, </w:t>
      </w:r>
      <w:r w:rsidR="00E00E17">
        <w:t>bidding them gaze</w:t>
      </w:r>
      <w:r w:rsidR="00EB4FEE">
        <w:t xml:space="preserve"> in </w:t>
      </w:r>
      <w:r w:rsidR="00E0592B">
        <w:t>the mirror of the pagan classics. The world in which Basil and his students pursued their educational goals was a volatile one, in which schools were opened and closed, and c</w:t>
      </w:r>
      <w:r w:rsidR="00EB4FEE">
        <w:t>urricula introduced or closeted</w:t>
      </w:r>
      <w:r w:rsidR="00E0592B">
        <w:t xml:space="preserve">, depending </w:t>
      </w:r>
      <w:r w:rsidR="00E0592B">
        <w:lastRenderedPageBreak/>
        <w:t>which way the church / state wind might be shifting. The world of the fourth century was not simply the world of legitimization of Christianity, but the uncomfortable struggle between Christian educators and a standard ancient curriculum</w:t>
      </w:r>
      <w:r w:rsidR="004122C5">
        <w:t xml:space="preserve"> whose foundations were more than a </w:t>
      </w:r>
      <w:r w:rsidR="005E089B">
        <w:t>millennium old</w:t>
      </w:r>
      <w:r w:rsidR="00E0592B">
        <w:t xml:space="preserve">, </w:t>
      </w:r>
      <w:r w:rsidR="005E089B">
        <w:t>a curriculum</w:t>
      </w:r>
      <w:r w:rsidR="00E0592B">
        <w:t xml:space="preserve"> Basil himself learned from at Caesarea and Constantinople, and finally in the 5 or 6 years he studied at Athens with his friend Gregory </w:t>
      </w:r>
      <w:proofErr w:type="spellStart"/>
      <w:r w:rsidR="00E0592B">
        <w:t>Nazianzus</w:t>
      </w:r>
      <w:proofErr w:type="spellEnd"/>
      <w:r w:rsidR="00E0592B">
        <w:t xml:space="preserve"> (and their peer Julian, later the Apostate). Even among Christians, his was an era of competing orthodox</w:t>
      </w:r>
      <w:r w:rsidR="00E00E17">
        <w:t>ies</w:t>
      </w:r>
      <w:r w:rsidR="00E0592B">
        <w:t xml:space="preserve">; Basil </w:t>
      </w:r>
      <w:r w:rsidR="00EB4FEE">
        <w:t xml:space="preserve">himself </w:t>
      </w:r>
      <w:r w:rsidR="00E0592B">
        <w:t xml:space="preserve">did not begin as an </w:t>
      </w:r>
      <w:proofErr w:type="spellStart"/>
      <w:r w:rsidR="00E0592B">
        <w:t>Athanasian</w:t>
      </w:r>
      <w:proofErr w:type="spellEnd"/>
      <w:r w:rsidR="00E0592B">
        <w:t xml:space="preserve"> confessing the </w:t>
      </w:r>
      <w:proofErr w:type="spellStart"/>
      <w:r w:rsidR="00E0592B">
        <w:rPr>
          <w:i/>
        </w:rPr>
        <w:t>homoousios</w:t>
      </w:r>
      <w:proofErr w:type="spellEnd"/>
      <w:r w:rsidR="00E0592B">
        <w:t xml:space="preserve"> of Christ’s godhead, but was converted from his Arian leanings </w:t>
      </w:r>
      <w:r w:rsidR="00EB4FEE">
        <w:t>to champion the cause of the Nicene Creed. In such a world, it would be common for teachers to have to make a defense of their agenda. From this perspective, it is important to read Basil not as a slicer and dicer of the standard curriculum for the last 750 years, but as a classical scholar who knows the good of the texts; not a bowdlerizer of dangerous banned books, but one who would plant his flag of reason against any who would dumb down emergent scholarship in a brave new world.</w:t>
      </w:r>
    </w:p>
    <w:p w:rsidR="00EB4FEE" w:rsidRPr="00FA0B95" w:rsidRDefault="00EB4FEE" w:rsidP="0063447C">
      <w:pPr>
        <w:spacing w:line="360" w:lineRule="auto"/>
      </w:pPr>
      <w:r>
        <w:tab/>
        <w:t xml:space="preserve">Against such a backdrop, Basil’s theology of vocation encompasses more than the single goal of solitary virtue, </w:t>
      </w:r>
      <w:r w:rsidR="002D51F4">
        <w:t xml:space="preserve">one limiting </w:t>
      </w:r>
      <w:r>
        <w:t>the student</w:t>
      </w:r>
      <w:r w:rsidR="002D51F4">
        <w:t xml:space="preserve"> to</w:t>
      </w:r>
      <w:r>
        <w:t xml:space="preserve"> anything but continued indoctrination leading to personal piety and salvation. The urgency of historical context invites us to read between the</w:t>
      </w:r>
      <w:r w:rsidR="00FA0B95">
        <w:t xml:space="preserve"> lines to a more comprehensive purpose. He is not telling his students </w:t>
      </w:r>
      <w:r w:rsidR="00FA0B95">
        <w:rPr>
          <w:i/>
        </w:rPr>
        <w:t>not</w:t>
      </w:r>
      <w:r w:rsidR="00FA0B95">
        <w:t xml:space="preserve"> to read certain bits of the classics as much as he </w:t>
      </w:r>
      <w:r w:rsidR="00FA0B95">
        <w:rPr>
          <w:i/>
        </w:rPr>
        <w:t>is</w:t>
      </w:r>
      <w:r w:rsidR="00FA0B95">
        <w:t xml:space="preserve"> telling them </w:t>
      </w:r>
      <w:r w:rsidR="00FA0B95" w:rsidRPr="002D51F4">
        <w:rPr>
          <w:i/>
        </w:rPr>
        <w:t>to read</w:t>
      </w:r>
      <w:r w:rsidR="00FA0B95">
        <w:t xml:space="preserve"> the classics – and that, to prepare them for a long life, not just in eternity, but in the here-and-now of 4</w:t>
      </w:r>
      <w:r w:rsidR="00FA0B95" w:rsidRPr="00FA0B95">
        <w:rPr>
          <w:vertAlign w:val="superscript"/>
        </w:rPr>
        <w:t>th</w:t>
      </w:r>
      <w:r w:rsidR="00FA0B95">
        <w:t xml:space="preserve"> century Cappadocia, when the next wave of pagan patronage may hit</w:t>
      </w:r>
      <w:r w:rsidR="00E00E17">
        <w:t xml:space="preserve"> at any moment</w:t>
      </w:r>
      <w:r w:rsidR="00FA0B95">
        <w:t>, and the philosophers will have to demonstrate that they’ve got the</w:t>
      </w:r>
      <w:r w:rsidR="002D51F4">
        <w:t>ir</w:t>
      </w:r>
      <w:r w:rsidR="00FA0B95">
        <w:t xml:space="preserve"> tools</w:t>
      </w:r>
      <w:r w:rsidR="002D51F4">
        <w:t xml:space="preserve"> sharpened</w:t>
      </w:r>
      <w:r w:rsidR="00FA0B95">
        <w:t xml:space="preserve"> to engage with a world conversant with Hesiod and Homer and everything after.</w:t>
      </w:r>
    </w:p>
    <w:p w:rsidR="008F3839" w:rsidRDefault="00E35FDF" w:rsidP="0063447C">
      <w:pPr>
        <w:spacing w:line="360" w:lineRule="auto"/>
      </w:pPr>
      <w:r>
        <w:tab/>
        <w:t>We cannot go so far as to say, however</w:t>
      </w:r>
      <w:r w:rsidR="004122C5">
        <w:t>,</w:t>
      </w:r>
      <w:r>
        <w:t xml:space="preserve"> that Basil is interested in some form of “intellectual evangelism,” as much as he is in equipping students to read virtuous things, and we may go so far as to say, read </w:t>
      </w:r>
      <w:r>
        <w:rPr>
          <w:i/>
        </w:rPr>
        <w:t>virtuously</w:t>
      </w:r>
      <w:r>
        <w:t>. That is, the religious scholar doesn’t read simply to learn the virtues – pagans have them (obviously), and so do Christians. The religious scholar</w:t>
      </w:r>
      <w:r w:rsidR="004122C5">
        <w:t xml:space="preserve"> reads to become better – and to realize a better world. The scholar of any persuasion</w:t>
      </w:r>
      <w:r>
        <w:t xml:space="preserve"> yet lives in a real world </w:t>
      </w:r>
      <w:r w:rsidR="00E00E17">
        <w:t>populated by</w:t>
      </w:r>
      <w:r>
        <w:t xml:space="preserve"> pagans and Christians, a world in which Basil envisions at least that</w:t>
      </w:r>
      <w:r w:rsidR="004122C5">
        <w:t>,</w:t>
      </w:r>
      <w:r>
        <w:t xml:space="preserve"> </w:t>
      </w:r>
      <w:r w:rsidR="009F5CCD">
        <w:t xml:space="preserve">though there may be vast disagreements related to worldview, </w:t>
      </w:r>
      <w:r w:rsidR="00E00E17">
        <w:t>thinkers of both persuasions</w:t>
      </w:r>
      <w:r w:rsidR="009F5CCD">
        <w:t xml:space="preserve"> yet</w:t>
      </w:r>
      <w:r>
        <w:t xml:space="preserve"> can read at table together and inform education, and the state. Though the </w:t>
      </w:r>
      <w:proofErr w:type="spellStart"/>
      <w:r>
        <w:t>Cappadocian</w:t>
      </w:r>
      <w:proofErr w:type="spellEnd"/>
      <w:r>
        <w:t xml:space="preserve"> father is remembered as the father of eastern monasticism, he wasn’t training monks-to-be with this core </w:t>
      </w:r>
      <w:r>
        <w:lastRenderedPageBreak/>
        <w:t>text. He is talking to people who will engage a pagan world, not only in school, but also in an empire ruled by administrators who may not be orthodox (witness Arian emperors like Valens</w:t>
      </w:r>
      <w:r w:rsidR="002D51F4">
        <w:t>,</w:t>
      </w:r>
      <w:r w:rsidR="00BB2D4C">
        <w:t xml:space="preserve"> whom Basil famously crossed</w:t>
      </w:r>
      <w:r>
        <w:t xml:space="preserve">), much less Christian (Julian and Basil </w:t>
      </w:r>
      <w:r w:rsidR="00607C9C">
        <w:t xml:space="preserve">exchanged fiery repartee; cf. Basil’s </w:t>
      </w:r>
      <w:r w:rsidR="00607C9C">
        <w:rPr>
          <w:i/>
        </w:rPr>
        <w:t xml:space="preserve">Letters </w:t>
      </w:r>
      <w:r w:rsidR="00607C9C">
        <w:t>6, 40, 41</w:t>
      </w:r>
      <w:r>
        <w:t xml:space="preserve">). </w:t>
      </w:r>
      <w:r w:rsidR="00607C9C">
        <w:t>The real-world demands of Basil’s 4</w:t>
      </w:r>
      <w:r w:rsidR="00607C9C" w:rsidRPr="00607C9C">
        <w:rPr>
          <w:vertAlign w:val="superscript"/>
        </w:rPr>
        <w:t>th</w:t>
      </w:r>
      <w:r w:rsidR="00607C9C">
        <w:t xml:space="preserve"> century included more than students able to read the Bible. It required schol</w:t>
      </w:r>
      <w:r w:rsidR="00BB2D4C">
        <w:t>ars able to stand up on common ground amid shifting orthodoxies, shifting loyalties east and west, and shifty people at the top of both church and state. The educated statesman is</w:t>
      </w:r>
      <w:r w:rsidR="009F5CCD">
        <w:t xml:space="preserve"> one who is able to quote both Paul and Pericles, both Jesus and Julius Caesar. </w:t>
      </w:r>
      <w:r w:rsidR="00554834">
        <w:t xml:space="preserve">The educated statesman is one who is able to match </w:t>
      </w:r>
      <w:r w:rsidR="00743D65">
        <w:t>the rhetoric of his</w:t>
      </w:r>
      <w:r w:rsidR="00554834">
        <w:t xml:space="preserve"> corresponden</w:t>
      </w:r>
      <w:r w:rsidR="00743D65">
        <w:t>ts</w:t>
      </w:r>
      <w:r w:rsidR="00554834">
        <w:t xml:space="preserve"> quote for quote, well-versed in the </w:t>
      </w:r>
      <w:r w:rsidR="00743D65">
        <w:t xml:space="preserve">classical </w:t>
      </w:r>
      <w:r w:rsidR="00743D65">
        <w:rPr>
          <w:i/>
        </w:rPr>
        <w:t>topoi</w:t>
      </w:r>
      <w:r w:rsidR="00743D65">
        <w:t xml:space="preserve"> of the schools</w:t>
      </w:r>
      <w:r w:rsidR="00554834">
        <w:t xml:space="preserve"> – never to be used in court,</w:t>
      </w:r>
      <w:r w:rsidR="00C95639">
        <w:t xml:space="preserve"> mind you,</w:t>
      </w:r>
      <w:r w:rsidR="00743D65">
        <w:t xml:space="preserve"> but to ensure that </w:t>
      </w:r>
      <w:r w:rsidR="00554834">
        <w:t xml:space="preserve">communication </w:t>
      </w:r>
      <w:r w:rsidR="00743D65">
        <w:t xml:space="preserve">is </w:t>
      </w:r>
      <w:r w:rsidR="00554834">
        <w:t>clear and civil. T</w:t>
      </w:r>
      <w:r w:rsidR="00743D65">
        <w:t>he educated statesman is</w:t>
      </w:r>
      <w:r w:rsidR="00554834">
        <w:t xml:space="preserve"> one charged, obligated, </w:t>
      </w:r>
      <w:r w:rsidR="00554834">
        <w:rPr>
          <w:i/>
        </w:rPr>
        <w:t>called with a holy vocation</w:t>
      </w:r>
      <w:r w:rsidR="00554834">
        <w:t>, to move a society in a virtuous direction</w:t>
      </w:r>
      <w:r w:rsidR="00C55FA4">
        <w:t>,</w:t>
      </w:r>
      <w:r w:rsidR="00554834">
        <w:t xml:space="preserve"> not through some cultural</w:t>
      </w:r>
      <w:r w:rsidR="009C0BC6">
        <w:t>ly</w:t>
      </w:r>
      <w:r w:rsidR="00554834">
        <w:t xml:space="preserve"> accepted authority of divine revelation, but </w:t>
      </w:r>
      <w:r w:rsidR="00C95639">
        <w:t xml:space="preserve">rather with tools forged in </w:t>
      </w:r>
      <w:r w:rsidR="00554834">
        <w:t xml:space="preserve">the skepticism of the Greek philosophers, the </w:t>
      </w:r>
      <w:r w:rsidR="009C0BC6">
        <w:t xml:space="preserve">work ethic of </w:t>
      </w:r>
      <w:r w:rsidR="00743D65">
        <w:t xml:space="preserve">a </w:t>
      </w:r>
      <w:r w:rsidR="009C0BC6">
        <w:t>Hesiod, the savvy</w:t>
      </w:r>
      <w:r w:rsidR="00C95639">
        <w:t xml:space="preserve"> sentences of</w:t>
      </w:r>
      <w:r w:rsidR="009C0BC6">
        <w:t xml:space="preserve"> </w:t>
      </w:r>
      <w:r w:rsidR="00743D65">
        <w:t xml:space="preserve">a </w:t>
      </w:r>
      <w:r w:rsidR="009C0BC6">
        <w:t xml:space="preserve">Solon, and perhaps even the wit, charm, and wry observation </w:t>
      </w:r>
      <w:r w:rsidR="00C95639">
        <w:t>of an Aristophanes.</w:t>
      </w:r>
    </w:p>
    <w:p w:rsidR="00DF71B2" w:rsidRDefault="00DF71B2" w:rsidP="0063447C">
      <w:pPr>
        <w:spacing w:line="360" w:lineRule="auto"/>
      </w:pPr>
      <w:r>
        <w:tab/>
        <w:t xml:space="preserve">What about us? Do we have a similar need to engage a society with truth, skeptically rising above cultural preferences to find some common ground in a capital-T Truth? Perhaps it is too ambitious a thing to imagine that </w:t>
      </w:r>
      <w:proofErr w:type="spellStart"/>
      <w:r w:rsidR="00C95639">
        <w:t>a</w:t>
      </w:r>
      <w:proofErr w:type="spellEnd"/>
      <w:r w:rsidR="00C95639">
        <w:t xml:space="preserve"> similar</w:t>
      </w:r>
      <w:r>
        <w:t xml:space="preserve"> insistence on classical liberal arts training</w:t>
      </w:r>
      <w:r w:rsidR="00C95639">
        <w:t xml:space="preserve"> in our own North American, 21</w:t>
      </w:r>
      <w:r w:rsidR="00C95639" w:rsidRPr="00C95639">
        <w:rPr>
          <w:vertAlign w:val="superscript"/>
        </w:rPr>
        <w:t>st</w:t>
      </w:r>
      <w:r w:rsidR="00C95639">
        <w:t xml:space="preserve"> century context,</w:t>
      </w:r>
      <w:r>
        <w:t xml:space="preserve"> can </w:t>
      </w:r>
      <w:r w:rsidR="00C95639">
        <w:t>forge a means to shape society; perhaps</w:t>
      </w:r>
      <w:r>
        <w:t xml:space="preserve"> there </w:t>
      </w:r>
      <w:r w:rsidR="00C95639">
        <w:t>exists</w:t>
      </w:r>
      <w:r>
        <w:t xml:space="preserve"> too little common ground in modern life for an untaught or unteachable world to accept. </w:t>
      </w:r>
      <w:r w:rsidR="00743D65">
        <w:t xml:space="preserve">I’ll strive to be optimistic here nevertheless. But realistically: </w:t>
      </w:r>
      <w:r>
        <w:t xml:space="preserve">how about across universities? Do we have common ground across both public and private secular institutions as well as those that are church-related? Are we able to sit at the table together, holding in common a way to read the great conversation </w:t>
      </w:r>
      <w:r w:rsidRPr="00743D65">
        <w:rPr>
          <w:i/>
        </w:rPr>
        <w:t>virtuously</w:t>
      </w:r>
      <w:r>
        <w:t xml:space="preserve">? </w:t>
      </w:r>
      <w:r w:rsidR="004B1117">
        <w:t>And if there is hesitation</w:t>
      </w:r>
      <w:r w:rsidR="00C95639">
        <w:t xml:space="preserve"> about our ability or desire to do such</w:t>
      </w:r>
      <w:r w:rsidR="004B1117">
        <w:t xml:space="preserve">, with whom does the onus rest to engage the conversation? Is the intersection of religious and secular cores to be a matter of evaluating one as better, different, equivalent? </w:t>
      </w:r>
      <w:proofErr w:type="gramStart"/>
      <w:r w:rsidR="004B1117">
        <w:t>Or to aim at synergy, to a common goal?</w:t>
      </w:r>
      <w:proofErr w:type="gramEnd"/>
    </w:p>
    <w:p w:rsidR="004B1117" w:rsidRDefault="004B1117" w:rsidP="0063447C">
      <w:pPr>
        <w:spacing w:line="360" w:lineRule="auto"/>
      </w:pPr>
      <w:r>
        <w:tab/>
        <w:t xml:space="preserve">Whatever the answer, some tool-sharpening is in order, and work is involved. Here also Basil has words to share with us, at the very end of his essay. He says to his students, </w:t>
      </w:r>
    </w:p>
    <w:p w:rsidR="004B1117" w:rsidRDefault="004B1117" w:rsidP="004B1117">
      <w:pPr>
        <w:ind w:left="720"/>
        <w:rPr>
          <w:sz w:val="23"/>
          <w:szCs w:val="23"/>
        </w:rPr>
      </w:pPr>
      <w:r>
        <w:rPr>
          <w:sz w:val="23"/>
          <w:szCs w:val="23"/>
        </w:rPr>
        <w:t xml:space="preserve">Now as the sick are of three classes, according to the degrees of their sickness, may you not seem to </w:t>
      </w:r>
      <w:r>
        <w:rPr>
          <w:sz w:val="23"/>
          <w:szCs w:val="23"/>
        </w:rPr>
        <w:t>b</w:t>
      </w:r>
      <w:r>
        <w:rPr>
          <w:sz w:val="23"/>
          <w:szCs w:val="23"/>
        </w:rPr>
        <w:t xml:space="preserve">elong to the third, or incurable, class, nor show a spiritual malady like that of their bodies! For those who are slightly indisposed visit physicians in person, and those who are seized by violent sickness call physicians, but those who are suffering from a hopelessly </w:t>
      </w:r>
      <w:r>
        <w:rPr>
          <w:sz w:val="23"/>
          <w:szCs w:val="23"/>
        </w:rPr>
        <w:lastRenderedPageBreak/>
        <w:t>incurable melancholy do not even admit the physicians if they come. May this now not be your plight, as would seem to be the case were you to shun these right counsels!</w:t>
      </w:r>
      <w:r>
        <w:rPr>
          <w:rStyle w:val="FootnoteReference"/>
          <w:sz w:val="23"/>
          <w:szCs w:val="23"/>
        </w:rPr>
        <w:footnoteReference w:id="4"/>
      </w:r>
    </w:p>
    <w:p w:rsidR="004B1117" w:rsidRDefault="004B1117" w:rsidP="004B1117">
      <w:pPr>
        <w:ind w:left="720"/>
        <w:rPr>
          <w:sz w:val="23"/>
          <w:szCs w:val="23"/>
        </w:rPr>
      </w:pPr>
    </w:p>
    <w:p w:rsidR="004B1117" w:rsidRDefault="004B1117" w:rsidP="0063447C">
      <w:pPr>
        <w:spacing w:line="360" w:lineRule="auto"/>
      </w:pPr>
      <w:r>
        <w:t xml:space="preserve">This brings us back to the vocation of the student – a holy calling requiring ultimately that the student be conscious of himself. With undergraduates, I have described this final analogy of Basil’s sick, very sick, and very, very sick, as three classes of students: the </w:t>
      </w:r>
      <w:r w:rsidR="00BE1098">
        <w:t>eager, the hopeful, and the doomed. Which kind of student are you</w:t>
      </w:r>
      <w:r w:rsidR="00C95639">
        <w:t>, I ask classes every term. Are you still making appointments with the doc, or are they wheeling you in to the ER, or should we just call the undertaker?</w:t>
      </w:r>
      <w:r w:rsidR="00BE1098">
        <w:t xml:space="preserve"> </w:t>
      </w:r>
    </w:p>
    <w:p w:rsidR="00BE1098" w:rsidRPr="00C95639" w:rsidRDefault="00BE1098" w:rsidP="0063447C">
      <w:pPr>
        <w:spacing w:line="360" w:lineRule="auto"/>
      </w:pPr>
      <w:r>
        <w:tab/>
      </w:r>
      <w:r w:rsidR="00C95639">
        <w:t xml:space="preserve">But let’s turn the table for </w:t>
      </w:r>
      <w:r w:rsidR="00C55FA4">
        <w:t xml:space="preserve">a </w:t>
      </w:r>
      <w:r w:rsidR="00C95639">
        <w:t xml:space="preserve">moment. </w:t>
      </w:r>
      <w:r>
        <w:t xml:space="preserve">Which kind of scholar are you? Are you a virtuous reader? Does </w:t>
      </w:r>
      <w:r w:rsidR="00C95639">
        <w:t>this late antique Classicist’s</w:t>
      </w:r>
      <w:r>
        <w:t xml:space="preserve"> analogy hold water for us who are the purveyors of the liberal arts? </w:t>
      </w:r>
      <w:r w:rsidR="00743D65">
        <w:t xml:space="preserve">Have we grown lax, lazy, lethargic at the prospect of making the uncomfortable step to an alien canon, a core not our own, a text tradition whose worldview may alter the way we’ve prepped our courses and run our scholarship for too many years to change? </w:t>
      </w:r>
      <w:r>
        <w:t xml:space="preserve">At the very least, </w:t>
      </w:r>
      <w:r w:rsidR="00743D65">
        <w:t xml:space="preserve">in addressing the malady, </w:t>
      </w:r>
      <w:r>
        <w:t xml:space="preserve">if Basil would be our teacher (and he should be), what medicine would he have us take? I think the answer is clear. </w:t>
      </w:r>
      <w:proofErr w:type="gramStart"/>
      <w:r>
        <w:t>The classics.</w:t>
      </w:r>
      <w:proofErr w:type="gramEnd"/>
      <w:r>
        <w:t xml:space="preserve"> </w:t>
      </w:r>
      <w:proofErr w:type="gramStart"/>
      <w:r>
        <w:t>The garland of the ancients.</w:t>
      </w:r>
      <w:proofErr w:type="gramEnd"/>
      <w:r>
        <w:t xml:space="preserve"> </w:t>
      </w:r>
      <w:proofErr w:type="gramStart"/>
      <w:r>
        <w:t xml:space="preserve">The foliage </w:t>
      </w:r>
      <w:r w:rsidR="00743D65">
        <w:t xml:space="preserve">adorning the tree of life </w:t>
      </w:r>
      <w:r>
        <w:t>that shades the fruit of divine truth.</w:t>
      </w:r>
      <w:proofErr w:type="gramEnd"/>
      <w:r>
        <w:t xml:space="preserve"> </w:t>
      </w:r>
      <w:r w:rsidR="00C95639">
        <w:t xml:space="preserve">The tools – the </w:t>
      </w:r>
      <w:r w:rsidR="00C95639">
        <w:rPr>
          <w:i/>
        </w:rPr>
        <w:t>only</w:t>
      </w:r>
      <w:r w:rsidR="00C95639">
        <w:t xml:space="preserve"> tools in our toolbox worth keeping sharp, perhaps – the only tools we have are the texts.</w:t>
      </w:r>
      <w:r w:rsidR="00CE5D16">
        <w:t xml:space="preserve"> Leave it to a Classicist to go back to the text.</w:t>
      </w:r>
      <w:r w:rsidR="00C95639">
        <w:t xml:space="preserve"> </w:t>
      </w:r>
      <w:r w:rsidR="00CE5D16">
        <w:t>But</w:t>
      </w:r>
      <w:r w:rsidR="00C95639">
        <w:t xml:space="preserve"> here in fact is common ground</w:t>
      </w:r>
      <w:r w:rsidR="00CE5D16">
        <w:t xml:space="preserve"> at the intersection of religious and secular cores. </w:t>
      </w:r>
      <w:r w:rsidR="006D7689">
        <w:t xml:space="preserve">Basil affirms it, and we do well to consider it for ourselves across higher </w:t>
      </w:r>
      <w:proofErr w:type="spellStart"/>
      <w:r w:rsidR="006D7689">
        <w:t>ed</w:t>
      </w:r>
      <w:proofErr w:type="spellEnd"/>
      <w:r w:rsidR="006D7689">
        <w:t>: c</w:t>
      </w:r>
      <w:r w:rsidR="00CE5D16">
        <w:t>ommon ground</w:t>
      </w:r>
      <w:r w:rsidR="00C95639">
        <w:t xml:space="preserve">, if not to effect radical change in society in this generation, at least </w:t>
      </w:r>
      <w:r w:rsidR="00743D65">
        <w:t xml:space="preserve">texts transmitting </w:t>
      </w:r>
      <w:r w:rsidR="006D7689">
        <w:t>the best ideas to</w:t>
      </w:r>
      <w:r w:rsidR="00C95639">
        <w:t xml:space="preserve"> preserve for another generation</w:t>
      </w:r>
      <w:r w:rsidR="006D7689">
        <w:t>,</w:t>
      </w:r>
      <w:r w:rsidR="00C95639">
        <w:t xml:space="preserve"> to</w:t>
      </w:r>
      <w:r w:rsidR="006D7689">
        <w:t xml:space="preserve"> help them</w:t>
      </w:r>
      <w:r w:rsidR="00C95639">
        <w:t xml:space="preserve"> survive the undertows of the next big cultural wave.</w:t>
      </w:r>
      <w:r w:rsidR="006D7689">
        <w:t xml:space="preserve"> If such a </w:t>
      </w:r>
      <w:r w:rsidR="002207FE">
        <w:t>vocation</w:t>
      </w:r>
      <w:bookmarkStart w:id="0" w:name="_GoBack"/>
      <w:bookmarkEnd w:id="0"/>
      <w:r w:rsidR="006D7689">
        <w:t xml:space="preserve"> is not worthy of being called sacred, would you please help me out and tell me what is?</w:t>
      </w:r>
    </w:p>
    <w:p w:rsidR="004B1117" w:rsidRDefault="004B1117"/>
    <w:sectPr w:rsidR="004B1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EA" w:rsidRDefault="006F7CEA" w:rsidP="001C509E">
      <w:r>
        <w:separator/>
      </w:r>
    </w:p>
  </w:endnote>
  <w:endnote w:type="continuationSeparator" w:id="0">
    <w:p w:rsidR="006F7CEA" w:rsidRDefault="006F7CEA" w:rsidP="001C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17411742"/>
      <w:docPartObj>
        <w:docPartGallery w:val="Page Numbers (Bottom of Page)"/>
        <w:docPartUnique/>
      </w:docPartObj>
    </w:sdtPr>
    <w:sdtEndPr>
      <w:rPr>
        <w:noProof/>
      </w:rPr>
    </w:sdtEndPr>
    <w:sdtContent>
      <w:p w:rsidR="001C509E" w:rsidRPr="001C509E" w:rsidRDefault="001C509E">
        <w:pPr>
          <w:pStyle w:val="Footer"/>
          <w:jc w:val="right"/>
          <w:rPr>
            <w:sz w:val="20"/>
            <w:szCs w:val="20"/>
          </w:rPr>
        </w:pPr>
        <w:r w:rsidRPr="001C509E">
          <w:rPr>
            <w:sz w:val="20"/>
            <w:szCs w:val="20"/>
          </w:rPr>
          <w:t xml:space="preserve">  CJ Armstrong, Concordia University, Irvine </w:t>
        </w:r>
        <w:r w:rsidRPr="001C509E">
          <w:rPr>
            <w:sz w:val="20"/>
            <w:szCs w:val="20"/>
          </w:rPr>
          <w:fldChar w:fldCharType="begin"/>
        </w:r>
        <w:r w:rsidRPr="001C509E">
          <w:rPr>
            <w:sz w:val="20"/>
            <w:szCs w:val="20"/>
          </w:rPr>
          <w:instrText xml:space="preserve"> PAGE   \* MERGEFORMAT </w:instrText>
        </w:r>
        <w:r w:rsidRPr="001C509E">
          <w:rPr>
            <w:sz w:val="20"/>
            <w:szCs w:val="20"/>
          </w:rPr>
          <w:fldChar w:fldCharType="separate"/>
        </w:r>
        <w:r w:rsidR="002207FE">
          <w:rPr>
            <w:noProof/>
            <w:sz w:val="20"/>
            <w:szCs w:val="20"/>
          </w:rPr>
          <w:t>6</w:t>
        </w:r>
        <w:r w:rsidRPr="001C509E">
          <w:rPr>
            <w:noProof/>
            <w:sz w:val="20"/>
            <w:szCs w:val="20"/>
          </w:rPr>
          <w:fldChar w:fldCharType="end"/>
        </w:r>
      </w:p>
    </w:sdtContent>
  </w:sdt>
  <w:p w:rsidR="001C509E" w:rsidRDefault="001C5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EA" w:rsidRDefault="006F7CEA" w:rsidP="001C509E">
      <w:r>
        <w:separator/>
      </w:r>
    </w:p>
  </w:footnote>
  <w:footnote w:type="continuationSeparator" w:id="0">
    <w:p w:rsidR="006F7CEA" w:rsidRDefault="006F7CEA" w:rsidP="001C509E">
      <w:r>
        <w:continuationSeparator/>
      </w:r>
    </w:p>
  </w:footnote>
  <w:footnote w:id="1">
    <w:p w:rsidR="00BC48C4" w:rsidRPr="00BC48C4" w:rsidRDefault="00BC48C4">
      <w:pPr>
        <w:pStyle w:val="FootnoteText"/>
      </w:pPr>
      <w:r>
        <w:rPr>
          <w:rStyle w:val="FootnoteReference"/>
        </w:rPr>
        <w:footnoteRef/>
      </w:r>
      <w:r>
        <w:t xml:space="preserve"> Basil </w:t>
      </w:r>
      <w:proofErr w:type="gramStart"/>
      <w:r>
        <w:rPr>
          <w:i/>
        </w:rPr>
        <w:t>On</w:t>
      </w:r>
      <w:proofErr w:type="gramEnd"/>
      <w:r>
        <w:rPr>
          <w:i/>
        </w:rPr>
        <w:t xml:space="preserve"> Greek Literature</w:t>
      </w:r>
      <w:r>
        <w:t xml:space="preserve"> 10 (trans. F.M. </w:t>
      </w:r>
      <w:proofErr w:type="spellStart"/>
      <w:r>
        <w:t>Padelford</w:t>
      </w:r>
      <w:proofErr w:type="spellEnd"/>
      <w:r>
        <w:t>, 1902).</w:t>
      </w:r>
    </w:p>
  </w:footnote>
  <w:footnote w:id="2">
    <w:p w:rsidR="005C4496" w:rsidRDefault="005C4496">
      <w:pPr>
        <w:pStyle w:val="FootnoteText"/>
      </w:pPr>
      <w:r>
        <w:rPr>
          <w:rStyle w:val="FootnoteReference"/>
        </w:rPr>
        <w:footnoteRef/>
      </w:r>
      <w:r>
        <w:t xml:space="preserve"> </w:t>
      </w:r>
      <w:proofErr w:type="gramStart"/>
      <w:r>
        <w:t>Ibid.,</w:t>
      </w:r>
      <w:proofErr w:type="gramEnd"/>
      <w:r>
        <w:t xml:space="preserve"> 9. The author claims that this is rather a low blow on Basil’s part.</w:t>
      </w:r>
    </w:p>
  </w:footnote>
  <w:footnote w:id="3">
    <w:p w:rsidR="002D51F4" w:rsidRDefault="002D51F4">
      <w:pPr>
        <w:pStyle w:val="FootnoteText"/>
      </w:pPr>
      <w:r>
        <w:rPr>
          <w:rStyle w:val="FootnoteReference"/>
        </w:rPr>
        <w:footnoteRef/>
      </w:r>
      <w:r>
        <w:t xml:space="preserve"> </w:t>
      </w:r>
      <w:proofErr w:type="gramStart"/>
      <w:r>
        <w:t>Ibid, 1.</w:t>
      </w:r>
      <w:proofErr w:type="gramEnd"/>
    </w:p>
  </w:footnote>
  <w:footnote w:id="4">
    <w:p w:rsidR="004B1117" w:rsidRDefault="004B1117">
      <w:pPr>
        <w:pStyle w:val="FootnoteText"/>
      </w:pPr>
      <w:r>
        <w:rPr>
          <w:rStyle w:val="FootnoteReference"/>
        </w:rPr>
        <w:footnoteRef/>
      </w:r>
      <w:r>
        <w:t xml:space="preserve"> </w:t>
      </w:r>
      <w:proofErr w:type="gramStart"/>
      <w:r>
        <w:t>Ibid, 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9E" w:rsidRPr="00944407" w:rsidRDefault="001C509E" w:rsidP="001C509E">
    <w:pPr>
      <w:pStyle w:val="Header"/>
      <w:jc w:val="right"/>
      <w:rPr>
        <w:i/>
        <w:sz w:val="20"/>
        <w:szCs w:val="20"/>
      </w:rPr>
    </w:pPr>
    <w:r w:rsidRPr="001C509E">
      <w:rPr>
        <w:sz w:val="20"/>
        <w:szCs w:val="20"/>
      </w:rPr>
      <w:t xml:space="preserve">Clinton J. Armstrong, </w:t>
    </w:r>
    <w:r w:rsidRPr="001C509E">
      <w:rPr>
        <w:i/>
        <w:sz w:val="20"/>
        <w:szCs w:val="20"/>
      </w:rPr>
      <w:t xml:space="preserve">Basil’s </w:t>
    </w:r>
    <w:r w:rsidRPr="001C509E">
      <w:rPr>
        <w:sz w:val="20"/>
        <w:szCs w:val="20"/>
      </w:rPr>
      <w:t xml:space="preserve">On Greek Literature </w:t>
    </w:r>
    <w:r w:rsidRPr="00944407">
      <w:rPr>
        <w:i/>
        <w:sz w:val="20"/>
        <w:szCs w:val="20"/>
      </w:rPr>
      <w:t>and the Vocation of the Student</w:t>
    </w:r>
  </w:p>
  <w:p w:rsidR="001C509E" w:rsidRPr="001C509E" w:rsidRDefault="001C509E" w:rsidP="001C509E">
    <w:pPr>
      <w:pStyle w:val="Header"/>
      <w:jc w:val="right"/>
      <w:rPr>
        <w:sz w:val="20"/>
        <w:szCs w:val="20"/>
      </w:rPr>
    </w:pPr>
    <w:r w:rsidRPr="001C509E">
      <w:rPr>
        <w:sz w:val="20"/>
        <w:szCs w:val="20"/>
      </w:rPr>
      <w:t>ACTC Liberal Arts Institute, Memphis, TN,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36"/>
    <w:rsid w:val="00050F93"/>
    <w:rsid w:val="000D0C0A"/>
    <w:rsid w:val="0017032D"/>
    <w:rsid w:val="001C509E"/>
    <w:rsid w:val="002207FE"/>
    <w:rsid w:val="00237C2E"/>
    <w:rsid w:val="002D51F4"/>
    <w:rsid w:val="00321E37"/>
    <w:rsid w:val="0036588D"/>
    <w:rsid w:val="004122C5"/>
    <w:rsid w:val="004B1117"/>
    <w:rsid w:val="00520943"/>
    <w:rsid w:val="00533567"/>
    <w:rsid w:val="00544CD2"/>
    <w:rsid w:val="00554834"/>
    <w:rsid w:val="005C4496"/>
    <w:rsid w:val="005E089B"/>
    <w:rsid w:val="00607C9C"/>
    <w:rsid w:val="00613E4C"/>
    <w:rsid w:val="0063447C"/>
    <w:rsid w:val="006D7689"/>
    <w:rsid w:val="006F7CEA"/>
    <w:rsid w:val="00710292"/>
    <w:rsid w:val="00743D65"/>
    <w:rsid w:val="00815015"/>
    <w:rsid w:val="0082381A"/>
    <w:rsid w:val="00883BA3"/>
    <w:rsid w:val="008F3839"/>
    <w:rsid w:val="00910836"/>
    <w:rsid w:val="00944407"/>
    <w:rsid w:val="009C0BC6"/>
    <w:rsid w:val="009F5CCD"/>
    <w:rsid w:val="00A85414"/>
    <w:rsid w:val="00B13902"/>
    <w:rsid w:val="00BB2D4C"/>
    <w:rsid w:val="00BB7497"/>
    <w:rsid w:val="00BC48C4"/>
    <w:rsid w:val="00BD4A14"/>
    <w:rsid w:val="00BE1098"/>
    <w:rsid w:val="00C55FA4"/>
    <w:rsid w:val="00C95639"/>
    <w:rsid w:val="00CE5D16"/>
    <w:rsid w:val="00DA7B5F"/>
    <w:rsid w:val="00DB6334"/>
    <w:rsid w:val="00DD5170"/>
    <w:rsid w:val="00DF71B2"/>
    <w:rsid w:val="00E00E17"/>
    <w:rsid w:val="00E0592B"/>
    <w:rsid w:val="00E35FDF"/>
    <w:rsid w:val="00EB4FEE"/>
    <w:rsid w:val="00F225D9"/>
    <w:rsid w:val="00FA0B95"/>
    <w:rsid w:val="00FA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09E"/>
    <w:pPr>
      <w:tabs>
        <w:tab w:val="center" w:pos="4680"/>
        <w:tab w:val="right" w:pos="9360"/>
      </w:tabs>
    </w:pPr>
  </w:style>
  <w:style w:type="character" w:customStyle="1" w:styleId="HeaderChar">
    <w:name w:val="Header Char"/>
    <w:basedOn w:val="DefaultParagraphFont"/>
    <w:link w:val="Header"/>
    <w:uiPriority w:val="99"/>
    <w:rsid w:val="001C509E"/>
  </w:style>
  <w:style w:type="paragraph" w:styleId="Footer">
    <w:name w:val="footer"/>
    <w:basedOn w:val="Normal"/>
    <w:link w:val="FooterChar"/>
    <w:uiPriority w:val="99"/>
    <w:unhideWhenUsed/>
    <w:rsid w:val="001C509E"/>
    <w:pPr>
      <w:tabs>
        <w:tab w:val="center" w:pos="4680"/>
        <w:tab w:val="right" w:pos="9360"/>
      </w:tabs>
    </w:pPr>
  </w:style>
  <w:style w:type="character" w:customStyle="1" w:styleId="FooterChar">
    <w:name w:val="Footer Char"/>
    <w:basedOn w:val="DefaultParagraphFont"/>
    <w:link w:val="Footer"/>
    <w:uiPriority w:val="99"/>
    <w:rsid w:val="001C509E"/>
  </w:style>
  <w:style w:type="paragraph" w:styleId="FootnoteText">
    <w:name w:val="footnote text"/>
    <w:basedOn w:val="Normal"/>
    <w:link w:val="FootnoteTextChar"/>
    <w:uiPriority w:val="99"/>
    <w:semiHidden/>
    <w:unhideWhenUsed/>
    <w:rsid w:val="00BC48C4"/>
    <w:rPr>
      <w:sz w:val="20"/>
      <w:szCs w:val="20"/>
    </w:rPr>
  </w:style>
  <w:style w:type="character" w:customStyle="1" w:styleId="FootnoteTextChar">
    <w:name w:val="Footnote Text Char"/>
    <w:basedOn w:val="DefaultParagraphFont"/>
    <w:link w:val="FootnoteText"/>
    <w:uiPriority w:val="99"/>
    <w:semiHidden/>
    <w:rsid w:val="00BC48C4"/>
    <w:rPr>
      <w:sz w:val="20"/>
      <w:szCs w:val="20"/>
    </w:rPr>
  </w:style>
  <w:style w:type="character" w:styleId="FootnoteReference">
    <w:name w:val="footnote reference"/>
    <w:basedOn w:val="DefaultParagraphFont"/>
    <w:uiPriority w:val="99"/>
    <w:semiHidden/>
    <w:unhideWhenUsed/>
    <w:rsid w:val="00BC48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09E"/>
    <w:pPr>
      <w:tabs>
        <w:tab w:val="center" w:pos="4680"/>
        <w:tab w:val="right" w:pos="9360"/>
      </w:tabs>
    </w:pPr>
  </w:style>
  <w:style w:type="character" w:customStyle="1" w:styleId="HeaderChar">
    <w:name w:val="Header Char"/>
    <w:basedOn w:val="DefaultParagraphFont"/>
    <w:link w:val="Header"/>
    <w:uiPriority w:val="99"/>
    <w:rsid w:val="001C509E"/>
  </w:style>
  <w:style w:type="paragraph" w:styleId="Footer">
    <w:name w:val="footer"/>
    <w:basedOn w:val="Normal"/>
    <w:link w:val="FooterChar"/>
    <w:uiPriority w:val="99"/>
    <w:unhideWhenUsed/>
    <w:rsid w:val="001C509E"/>
    <w:pPr>
      <w:tabs>
        <w:tab w:val="center" w:pos="4680"/>
        <w:tab w:val="right" w:pos="9360"/>
      </w:tabs>
    </w:pPr>
  </w:style>
  <w:style w:type="character" w:customStyle="1" w:styleId="FooterChar">
    <w:name w:val="Footer Char"/>
    <w:basedOn w:val="DefaultParagraphFont"/>
    <w:link w:val="Footer"/>
    <w:uiPriority w:val="99"/>
    <w:rsid w:val="001C509E"/>
  </w:style>
  <w:style w:type="paragraph" w:styleId="FootnoteText">
    <w:name w:val="footnote text"/>
    <w:basedOn w:val="Normal"/>
    <w:link w:val="FootnoteTextChar"/>
    <w:uiPriority w:val="99"/>
    <w:semiHidden/>
    <w:unhideWhenUsed/>
    <w:rsid w:val="00BC48C4"/>
    <w:rPr>
      <w:sz w:val="20"/>
      <w:szCs w:val="20"/>
    </w:rPr>
  </w:style>
  <w:style w:type="character" w:customStyle="1" w:styleId="FootnoteTextChar">
    <w:name w:val="Footnote Text Char"/>
    <w:basedOn w:val="DefaultParagraphFont"/>
    <w:link w:val="FootnoteText"/>
    <w:uiPriority w:val="99"/>
    <w:semiHidden/>
    <w:rsid w:val="00BC48C4"/>
    <w:rPr>
      <w:sz w:val="20"/>
      <w:szCs w:val="20"/>
    </w:rPr>
  </w:style>
  <w:style w:type="character" w:styleId="FootnoteReference">
    <w:name w:val="footnote reference"/>
    <w:basedOn w:val="DefaultParagraphFont"/>
    <w:uiPriority w:val="99"/>
    <w:semiHidden/>
    <w:unhideWhenUsed/>
    <w:rsid w:val="00BC4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5D9A-96F6-4845-A1B9-06E3DDE5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6</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J. Armstrong</dc:creator>
  <cp:lastModifiedBy>Clinton J. Armstrong</cp:lastModifiedBy>
  <cp:revision>33</cp:revision>
  <cp:lastPrinted>2014-09-22T22:09:00Z</cp:lastPrinted>
  <dcterms:created xsi:type="dcterms:W3CDTF">2014-09-22T00:01:00Z</dcterms:created>
  <dcterms:modified xsi:type="dcterms:W3CDTF">2014-09-23T04:25:00Z</dcterms:modified>
</cp:coreProperties>
</file>