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45" w:rsidRPr="00AF55A3" w:rsidRDefault="00E82A45" w:rsidP="00ED04E3">
      <w:pPr>
        <w:spacing w:line="480" w:lineRule="auto"/>
        <w:jc w:val="center"/>
        <w:rPr>
          <w:rFonts w:ascii="Times New Roman" w:hAnsi="Times New Roman" w:cs="Times New Roman"/>
          <w:b/>
          <w:sz w:val="28"/>
          <w:szCs w:val="28"/>
          <w:u w:val="single"/>
        </w:rPr>
      </w:pPr>
    </w:p>
    <w:p w:rsidR="00ED04E3" w:rsidRDefault="00ED04E3" w:rsidP="00AF1BFD">
      <w:pPr>
        <w:spacing w:line="480" w:lineRule="auto"/>
        <w:jc w:val="left"/>
        <w:rPr>
          <w:rFonts w:ascii="Times New Roman" w:hAnsi="Times New Roman" w:cs="Times New Roman"/>
          <w:sz w:val="24"/>
          <w:szCs w:val="24"/>
        </w:rPr>
      </w:pPr>
    </w:p>
    <w:p w:rsidR="00C82BA0" w:rsidRPr="00AF55A3" w:rsidRDefault="00C82BA0" w:rsidP="00AF1BFD">
      <w:pPr>
        <w:spacing w:line="480" w:lineRule="auto"/>
        <w:jc w:val="left"/>
        <w:rPr>
          <w:rFonts w:ascii="Times New Roman" w:hAnsi="Times New Roman" w:cs="Times New Roman"/>
          <w:sz w:val="24"/>
          <w:szCs w:val="24"/>
        </w:rPr>
      </w:pPr>
    </w:p>
    <w:p w:rsidR="00437FF9" w:rsidRPr="00AF55A3" w:rsidRDefault="00330528" w:rsidP="00AF1BFD">
      <w:pPr>
        <w:spacing w:line="480" w:lineRule="auto"/>
        <w:jc w:val="center"/>
        <w:rPr>
          <w:rFonts w:ascii="Times New Roman" w:hAnsi="Times New Roman" w:cs="Times New Roman"/>
          <w:sz w:val="24"/>
          <w:szCs w:val="24"/>
        </w:rPr>
      </w:pPr>
      <w:r w:rsidRPr="00AF55A3">
        <w:rPr>
          <w:rFonts w:ascii="Times New Roman" w:hAnsi="Times New Roman" w:cs="Times New Roman"/>
          <w:sz w:val="24"/>
          <w:szCs w:val="24"/>
        </w:rPr>
        <w:t>The Declension Narrative</w:t>
      </w:r>
      <w:r w:rsidR="00CA6985" w:rsidRPr="00AF55A3">
        <w:rPr>
          <w:rFonts w:ascii="Times New Roman" w:hAnsi="Times New Roman" w:cs="Times New Roman"/>
          <w:sz w:val="24"/>
          <w:szCs w:val="24"/>
        </w:rPr>
        <w:t xml:space="preserve">, </w:t>
      </w:r>
      <w:r w:rsidRPr="00AF55A3">
        <w:rPr>
          <w:rFonts w:ascii="Times New Roman" w:hAnsi="Times New Roman" w:cs="Times New Roman"/>
          <w:sz w:val="24"/>
          <w:szCs w:val="24"/>
        </w:rPr>
        <w:t>the Liberal Arts College</w:t>
      </w:r>
      <w:r w:rsidR="00064B17" w:rsidRPr="00AF55A3">
        <w:rPr>
          <w:rFonts w:ascii="Times New Roman" w:hAnsi="Times New Roman" w:cs="Times New Roman"/>
          <w:sz w:val="24"/>
          <w:szCs w:val="24"/>
        </w:rPr>
        <w:t>,</w:t>
      </w:r>
    </w:p>
    <w:p w:rsidR="004140C7" w:rsidRPr="00AF55A3" w:rsidRDefault="00330528" w:rsidP="00AF1BFD">
      <w:pPr>
        <w:spacing w:line="480" w:lineRule="auto"/>
        <w:jc w:val="center"/>
        <w:rPr>
          <w:rFonts w:ascii="Times New Roman" w:hAnsi="Times New Roman" w:cs="Times New Roman"/>
          <w:sz w:val="24"/>
          <w:szCs w:val="24"/>
        </w:rPr>
      </w:pPr>
      <w:r w:rsidRPr="00AF55A3">
        <w:rPr>
          <w:rFonts w:ascii="Times New Roman" w:hAnsi="Times New Roman" w:cs="Times New Roman"/>
          <w:sz w:val="24"/>
          <w:szCs w:val="24"/>
        </w:rPr>
        <w:t>and the Research University</w:t>
      </w:r>
    </w:p>
    <w:p w:rsidR="0032512E" w:rsidRPr="00AF55A3" w:rsidRDefault="0032512E" w:rsidP="0032512E">
      <w:pPr>
        <w:spacing w:line="480" w:lineRule="auto"/>
        <w:jc w:val="center"/>
        <w:rPr>
          <w:rFonts w:ascii="Times New Roman" w:hAnsi="Times New Roman" w:cs="Times New Roman"/>
          <w:sz w:val="24"/>
          <w:szCs w:val="24"/>
        </w:rPr>
      </w:pPr>
    </w:p>
    <w:p w:rsidR="00330528" w:rsidRPr="00AF55A3" w:rsidRDefault="0032512E" w:rsidP="0032512E">
      <w:pPr>
        <w:spacing w:line="480" w:lineRule="auto"/>
        <w:jc w:val="center"/>
        <w:rPr>
          <w:rFonts w:ascii="Times New Roman" w:hAnsi="Times New Roman" w:cs="Times New Roman"/>
          <w:sz w:val="24"/>
          <w:szCs w:val="24"/>
        </w:rPr>
      </w:pPr>
      <w:r w:rsidRPr="00AF55A3">
        <w:rPr>
          <w:rFonts w:ascii="Times New Roman" w:hAnsi="Times New Roman" w:cs="Times New Roman"/>
          <w:sz w:val="24"/>
          <w:szCs w:val="24"/>
        </w:rPr>
        <w:t>Bruce A. Kimball</w:t>
      </w:r>
    </w:p>
    <w:p w:rsidR="0032512E" w:rsidRPr="00AF55A3" w:rsidRDefault="0032512E" w:rsidP="0032512E">
      <w:pPr>
        <w:spacing w:line="480" w:lineRule="auto"/>
        <w:jc w:val="center"/>
        <w:rPr>
          <w:rFonts w:ascii="Times New Roman" w:hAnsi="Times New Roman" w:cs="Times New Roman"/>
          <w:sz w:val="24"/>
          <w:szCs w:val="24"/>
        </w:rPr>
      </w:pPr>
    </w:p>
    <w:p w:rsidR="0032512E" w:rsidRPr="00AF55A3" w:rsidRDefault="0032512E" w:rsidP="0032512E">
      <w:pPr>
        <w:spacing w:line="480" w:lineRule="auto"/>
        <w:jc w:val="center"/>
        <w:rPr>
          <w:rFonts w:ascii="Times New Roman" w:hAnsi="Times New Roman" w:cs="Times New Roman"/>
          <w:sz w:val="24"/>
          <w:szCs w:val="24"/>
        </w:rPr>
      </w:pPr>
    </w:p>
    <w:p w:rsidR="00437FF9" w:rsidRPr="00AF55A3" w:rsidRDefault="00437FF9" w:rsidP="00AF1BFD">
      <w:pPr>
        <w:spacing w:line="480" w:lineRule="auto"/>
        <w:jc w:val="center"/>
        <w:rPr>
          <w:rFonts w:ascii="Times New Roman" w:hAnsi="Times New Roman" w:cs="Times New Roman"/>
          <w:sz w:val="24"/>
          <w:szCs w:val="24"/>
        </w:rPr>
      </w:pPr>
      <w:r w:rsidRPr="00AF55A3">
        <w:rPr>
          <w:rFonts w:ascii="Times New Roman" w:hAnsi="Times New Roman" w:cs="Times New Roman"/>
          <w:sz w:val="24"/>
          <w:szCs w:val="24"/>
        </w:rPr>
        <w:t>Address to the Conference</w:t>
      </w:r>
      <w:r w:rsidR="00B74261">
        <w:rPr>
          <w:rFonts w:ascii="Times New Roman" w:hAnsi="Times New Roman" w:cs="Times New Roman"/>
          <w:sz w:val="24"/>
          <w:szCs w:val="24"/>
        </w:rPr>
        <w:t xml:space="preserve"> on</w:t>
      </w:r>
    </w:p>
    <w:p w:rsidR="00437FF9" w:rsidRPr="00AF55A3" w:rsidRDefault="00437FF9" w:rsidP="00AF1BFD">
      <w:pPr>
        <w:spacing w:line="480" w:lineRule="auto"/>
        <w:jc w:val="center"/>
        <w:rPr>
          <w:rFonts w:ascii="Times New Roman" w:hAnsi="Times New Roman" w:cs="Times New Roman"/>
          <w:sz w:val="24"/>
          <w:szCs w:val="24"/>
        </w:rPr>
      </w:pPr>
      <w:r w:rsidRPr="00AF55A3">
        <w:rPr>
          <w:rFonts w:ascii="Times New Roman" w:hAnsi="Times New Roman" w:cs="Times New Roman"/>
          <w:sz w:val="24"/>
          <w:szCs w:val="24"/>
        </w:rPr>
        <w:t>“The Research University and the Liberal Arts College”</w:t>
      </w:r>
    </w:p>
    <w:p w:rsidR="00437FF9" w:rsidRPr="00AF55A3" w:rsidRDefault="00437FF9" w:rsidP="00AF1BFD">
      <w:pPr>
        <w:spacing w:line="480" w:lineRule="auto"/>
        <w:jc w:val="center"/>
        <w:rPr>
          <w:rFonts w:ascii="Times New Roman" w:hAnsi="Times New Roman" w:cs="Times New Roman"/>
          <w:sz w:val="24"/>
          <w:szCs w:val="24"/>
        </w:rPr>
      </w:pPr>
      <w:r w:rsidRPr="00AF55A3">
        <w:rPr>
          <w:rFonts w:ascii="Times New Roman" w:hAnsi="Times New Roman" w:cs="Times New Roman"/>
          <w:sz w:val="24"/>
          <w:szCs w:val="24"/>
        </w:rPr>
        <w:t>University of Notre Dame</w:t>
      </w:r>
    </w:p>
    <w:p w:rsidR="00437FF9" w:rsidRPr="00AF55A3" w:rsidRDefault="00437FF9" w:rsidP="00AF1BFD">
      <w:pPr>
        <w:spacing w:line="480" w:lineRule="auto"/>
        <w:jc w:val="center"/>
        <w:rPr>
          <w:rFonts w:ascii="Times New Roman" w:hAnsi="Times New Roman" w:cs="Times New Roman"/>
          <w:sz w:val="24"/>
          <w:szCs w:val="24"/>
        </w:rPr>
      </w:pPr>
      <w:r w:rsidRPr="00AF55A3">
        <w:rPr>
          <w:rFonts w:ascii="Times New Roman" w:hAnsi="Times New Roman" w:cs="Times New Roman"/>
          <w:sz w:val="24"/>
          <w:szCs w:val="24"/>
        </w:rPr>
        <w:t>June 9, 2013</w:t>
      </w:r>
    </w:p>
    <w:p w:rsidR="00437FF9" w:rsidRPr="00AF55A3" w:rsidRDefault="00437FF9" w:rsidP="00AF1BFD">
      <w:pPr>
        <w:spacing w:line="480" w:lineRule="auto"/>
        <w:jc w:val="center"/>
        <w:rPr>
          <w:rFonts w:ascii="Times New Roman" w:hAnsi="Times New Roman" w:cs="Times New Roman"/>
          <w:sz w:val="24"/>
          <w:szCs w:val="24"/>
        </w:rPr>
      </w:pPr>
    </w:p>
    <w:p w:rsidR="00437FF9" w:rsidRPr="00AF55A3" w:rsidRDefault="00437FF9" w:rsidP="00AF1BFD">
      <w:pPr>
        <w:spacing w:line="480" w:lineRule="auto"/>
        <w:jc w:val="center"/>
        <w:rPr>
          <w:rFonts w:ascii="Times New Roman" w:hAnsi="Times New Roman" w:cs="Times New Roman"/>
          <w:sz w:val="24"/>
          <w:szCs w:val="24"/>
        </w:rPr>
      </w:pPr>
      <w:r w:rsidRPr="00AF55A3">
        <w:rPr>
          <w:rFonts w:ascii="Times New Roman" w:hAnsi="Times New Roman" w:cs="Times New Roman"/>
          <w:sz w:val="24"/>
          <w:szCs w:val="24"/>
        </w:rPr>
        <w:t xml:space="preserve">sponsored by </w:t>
      </w:r>
    </w:p>
    <w:p w:rsidR="00437FF9" w:rsidRPr="00AF55A3" w:rsidRDefault="00437FF9" w:rsidP="00AF1BFD">
      <w:pPr>
        <w:spacing w:line="480" w:lineRule="auto"/>
        <w:jc w:val="center"/>
        <w:rPr>
          <w:rFonts w:ascii="Times New Roman" w:hAnsi="Times New Roman" w:cs="Times New Roman"/>
          <w:sz w:val="24"/>
          <w:szCs w:val="24"/>
        </w:rPr>
      </w:pPr>
      <w:r w:rsidRPr="00AF55A3">
        <w:rPr>
          <w:rFonts w:ascii="Times New Roman" w:hAnsi="Times New Roman" w:cs="Times New Roman"/>
          <w:sz w:val="24"/>
          <w:szCs w:val="24"/>
        </w:rPr>
        <w:t>Association of Core Texts and Courses</w:t>
      </w:r>
    </w:p>
    <w:p w:rsidR="00330528" w:rsidRPr="00AF55A3" w:rsidRDefault="00437FF9" w:rsidP="00AF1BFD">
      <w:pPr>
        <w:spacing w:line="480" w:lineRule="auto"/>
        <w:jc w:val="center"/>
        <w:rPr>
          <w:rFonts w:ascii="Times New Roman" w:hAnsi="Times New Roman" w:cs="Times New Roman"/>
          <w:sz w:val="24"/>
          <w:szCs w:val="24"/>
        </w:rPr>
      </w:pPr>
      <w:r w:rsidRPr="00AF55A3">
        <w:rPr>
          <w:rFonts w:ascii="Times New Roman" w:hAnsi="Times New Roman" w:cs="Times New Roman"/>
          <w:sz w:val="24"/>
          <w:szCs w:val="24"/>
        </w:rPr>
        <w:t>Institute for Scholarship in the Liberal Arts, University of Notre Dame</w:t>
      </w:r>
    </w:p>
    <w:p w:rsidR="00EE3A01" w:rsidRDefault="00EE3A01" w:rsidP="00AF1BFD">
      <w:pPr>
        <w:spacing w:line="480" w:lineRule="auto"/>
        <w:rPr>
          <w:rFonts w:ascii="Times New Roman" w:hAnsi="Times New Roman" w:cs="Times New Roman"/>
          <w:sz w:val="24"/>
          <w:szCs w:val="24"/>
        </w:rPr>
      </w:pPr>
    </w:p>
    <w:p w:rsidR="00EE3A01" w:rsidRDefault="00EE3A01" w:rsidP="00AF1BFD">
      <w:pPr>
        <w:spacing w:line="480" w:lineRule="auto"/>
        <w:rPr>
          <w:rFonts w:ascii="Times New Roman" w:hAnsi="Times New Roman" w:cs="Times New Roman"/>
          <w:sz w:val="24"/>
          <w:szCs w:val="24"/>
        </w:rPr>
      </w:pPr>
    </w:p>
    <w:p w:rsidR="00EE3A01" w:rsidRDefault="00EE3A01" w:rsidP="00EE3A01">
      <w:pPr>
        <w:spacing w:line="480" w:lineRule="auto"/>
        <w:jc w:val="left"/>
        <w:rPr>
          <w:rFonts w:ascii="Times New Roman" w:hAnsi="Times New Roman" w:cs="Times New Roman"/>
          <w:sz w:val="24"/>
          <w:szCs w:val="24"/>
        </w:rPr>
      </w:pPr>
      <w:r>
        <w:rPr>
          <w:rFonts w:ascii="Times New Roman" w:hAnsi="Times New Roman" w:cs="Times New Roman"/>
          <w:sz w:val="24"/>
          <w:szCs w:val="24"/>
        </w:rPr>
        <w:t>I am grateful to William Hynes, Stanley Katz, Francis Oakley</w:t>
      </w:r>
      <w:r w:rsidR="00FD2152">
        <w:rPr>
          <w:rFonts w:ascii="Times New Roman" w:hAnsi="Times New Roman" w:cs="Times New Roman"/>
          <w:sz w:val="24"/>
          <w:szCs w:val="24"/>
        </w:rPr>
        <w:t xml:space="preserve">, </w:t>
      </w:r>
      <w:r w:rsidR="00023586">
        <w:rPr>
          <w:rFonts w:ascii="Times New Roman" w:hAnsi="Times New Roman" w:cs="Times New Roman"/>
          <w:sz w:val="24"/>
          <w:szCs w:val="24"/>
        </w:rPr>
        <w:t xml:space="preserve">Kathleen McCullough, Lynne Karlson, </w:t>
      </w:r>
      <w:r w:rsidR="00FD2152">
        <w:rPr>
          <w:rFonts w:ascii="Times New Roman" w:hAnsi="Times New Roman" w:cs="Times New Roman"/>
          <w:sz w:val="24"/>
          <w:szCs w:val="24"/>
        </w:rPr>
        <w:t>and Scott Lee</w:t>
      </w:r>
      <w:r>
        <w:rPr>
          <w:rFonts w:ascii="Times New Roman" w:hAnsi="Times New Roman" w:cs="Times New Roman"/>
          <w:sz w:val="24"/>
          <w:szCs w:val="24"/>
        </w:rPr>
        <w:t xml:space="preserve"> for helpful feedback on an earlier draft of this essay, though I am responsible for the final version.</w:t>
      </w:r>
      <w:r>
        <w:rPr>
          <w:rFonts w:ascii="Times New Roman" w:hAnsi="Times New Roman" w:cs="Times New Roman"/>
          <w:sz w:val="24"/>
          <w:szCs w:val="24"/>
        </w:rPr>
        <w:br w:type="page"/>
      </w:r>
    </w:p>
    <w:p w:rsidR="006E53DC" w:rsidRPr="00AF55A3" w:rsidRDefault="006E53DC" w:rsidP="00AF1BFD">
      <w:pPr>
        <w:spacing w:line="480" w:lineRule="auto"/>
        <w:jc w:val="left"/>
        <w:rPr>
          <w:rFonts w:ascii="Times New Roman" w:hAnsi="Times New Roman" w:cs="Times New Roman"/>
          <w:sz w:val="24"/>
          <w:szCs w:val="24"/>
        </w:rPr>
      </w:pPr>
    </w:p>
    <w:p w:rsidR="00321419" w:rsidRPr="00AF55A3" w:rsidRDefault="00321419" w:rsidP="00AF1BFD">
      <w:pPr>
        <w:spacing w:line="480" w:lineRule="auto"/>
        <w:jc w:val="left"/>
        <w:rPr>
          <w:rFonts w:ascii="Times New Roman" w:hAnsi="Times New Roman" w:cs="Times New Roman"/>
          <w:sz w:val="24"/>
          <w:szCs w:val="24"/>
        </w:rPr>
      </w:pPr>
    </w:p>
    <w:p w:rsidR="0032512E" w:rsidRPr="00AF55A3" w:rsidRDefault="0032512E" w:rsidP="00AF1BFD">
      <w:pPr>
        <w:spacing w:line="480" w:lineRule="auto"/>
        <w:jc w:val="left"/>
        <w:rPr>
          <w:rFonts w:ascii="Times New Roman" w:hAnsi="Times New Roman" w:cs="Times New Roman"/>
          <w:sz w:val="24"/>
          <w:szCs w:val="24"/>
        </w:rPr>
      </w:pPr>
    </w:p>
    <w:p w:rsidR="0032512E" w:rsidRPr="00AF55A3" w:rsidRDefault="0032512E" w:rsidP="00AF1BFD">
      <w:pPr>
        <w:spacing w:line="480" w:lineRule="auto"/>
        <w:jc w:val="left"/>
        <w:rPr>
          <w:rFonts w:ascii="Times New Roman" w:hAnsi="Times New Roman" w:cs="Times New Roman"/>
          <w:sz w:val="24"/>
          <w:szCs w:val="24"/>
        </w:rPr>
      </w:pPr>
    </w:p>
    <w:p w:rsidR="0032512E" w:rsidRPr="00AF55A3" w:rsidRDefault="0032512E" w:rsidP="00AF1BFD">
      <w:pPr>
        <w:spacing w:line="480" w:lineRule="auto"/>
        <w:jc w:val="left"/>
        <w:rPr>
          <w:rFonts w:ascii="Times New Roman" w:hAnsi="Times New Roman" w:cs="Times New Roman"/>
          <w:sz w:val="24"/>
          <w:szCs w:val="24"/>
        </w:rPr>
      </w:pPr>
    </w:p>
    <w:p w:rsidR="0032512E" w:rsidRPr="00AF55A3" w:rsidRDefault="0032512E" w:rsidP="00AF1BFD">
      <w:pPr>
        <w:spacing w:line="480" w:lineRule="auto"/>
        <w:jc w:val="left"/>
        <w:rPr>
          <w:rFonts w:ascii="Times New Roman" w:hAnsi="Times New Roman" w:cs="Times New Roman"/>
          <w:sz w:val="24"/>
          <w:szCs w:val="24"/>
        </w:rPr>
      </w:pPr>
    </w:p>
    <w:p w:rsidR="00321419" w:rsidRPr="00AF55A3" w:rsidRDefault="00321419" w:rsidP="00AF1BFD">
      <w:pPr>
        <w:spacing w:line="480" w:lineRule="auto"/>
        <w:jc w:val="left"/>
        <w:rPr>
          <w:rFonts w:ascii="Times New Roman" w:hAnsi="Times New Roman" w:cs="Times New Roman"/>
          <w:sz w:val="24"/>
          <w:szCs w:val="24"/>
        </w:rPr>
      </w:pPr>
    </w:p>
    <w:p w:rsidR="00321419" w:rsidRPr="00AF55A3" w:rsidRDefault="00321419" w:rsidP="00AF1BFD">
      <w:pPr>
        <w:spacing w:line="480" w:lineRule="auto"/>
        <w:jc w:val="left"/>
        <w:rPr>
          <w:rFonts w:ascii="Times New Roman" w:hAnsi="Times New Roman" w:cs="Times New Roman"/>
          <w:sz w:val="24"/>
          <w:szCs w:val="24"/>
        </w:rPr>
      </w:pPr>
    </w:p>
    <w:p w:rsidR="00B84A8A" w:rsidRPr="00AF55A3" w:rsidRDefault="00F315DC" w:rsidP="00AF1BFD">
      <w:pPr>
        <w:spacing w:line="480" w:lineRule="auto"/>
        <w:jc w:val="left"/>
        <w:rPr>
          <w:rFonts w:ascii="Times New Roman" w:hAnsi="Times New Roman" w:cs="Times New Roman"/>
          <w:sz w:val="24"/>
          <w:szCs w:val="24"/>
        </w:rPr>
      </w:pPr>
      <w:r w:rsidRPr="00AF55A3">
        <w:rPr>
          <w:rFonts w:ascii="Times New Roman" w:hAnsi="Times New Roman" w:cs="Times New Roman"/>
          <w:sz w:val="24"/>
          <w:szCs w:val="24"/>
        </w:rPr>
        <w:t>Among the Jeremiads echoing through higher education in recent decades, one of the most often heard is the declension narrative of the liberal arts college. According to the declension narrative</w:t>
      </w:r>
      <w:r w:rsidR="00387EF1" w:rsidRPr="00AF55A3">
        <w:rPr>
          <w:rFonts w:ascii="Times New Roman" w:hAnsi="Times New Roman" w:cs="Times New Roman"/>
          <w:sz w:val="24"/>
          <w:szCs w:val="24"/>
        </w:rPr>
        <w:t xml:space="preserve"> in its strongest form</w:t>
      </w:r>
      <w:r w:rsidRPr="00AF55A3">
        <w:rPr>
          <w:rFonts w:ascii="Times New Roman" w:hAnsi="Times New Roman" w:cs="Times New Roman"/>
          <w:sz w:val="24"/>
          <w:szCs w:val="24"/>
        </w:rPr>
        <w:t xml:space="preserve">, the university and the liberal arts college represent two distinct and competing educational and institutional ideologies.  Furthermore, the </w:t>
      </w:r>
      <w:r w:rsidR="00387EF1" w:rsidRPr="00AF55A3">
        <w:rPr>
          <w:rFonts w:ascii="Times New Roman" w:hAnsi="Times New Roman" w:cs="Times New Roman"/>
          <w:sz w:val="24"/>
          <w:szCs w:val="24"/>
        </w:rPr>
        <w:t>university--especially</w:t>
      </w:r>
      <w:r w:rsidRPr="00AF55A3">
        <w:rPr>
          <w:rFonts w:ascii="Times New Roman" w:hAnsi="Times New Roman" w:cs="Times New Roman"/>
          <w:sz w:val="24"/>
          <w:szCs w:val="24"/>
        </w:rPr>
        <w:t xml:space="preserve"> the public university</w:t>
      </w:r>
      <w:r w:rsidR="00387EF1" w:rsidRPr="00AF55A3">
        <w:rPr>
          <w:rFonts w:ascii="Times New Roman" w:hAnsi="Times New Roman" w:cs="Times New Roman"/>
          <w:sz w:val="24"/>
          <w:szCs w:val="24"/>
        </w:rPr>
        <w:t xml:space="preserve">--has </w:t>
      </w:r>
      <w:r w:rsidR="00B74261">
        <w:rPr>
          <w:rFonts w:ascii="Times New Roman" w:hAnsi="Times New Roman" w:cs="Times New Roman"/>
          <w:sz w:val="24"/>
          <w:szCs w:val="24"/>
        </w:rPr>
        <w:t>grown stronger</w:t>
      </w:r>
      <w:r w:rsidRPr="00AF55A3">
        <w:rPr>
          <w:rFonts w:ascii="Times New Roman" w:hAnsi="Times New Roman" w:cs="Times New Roman"/>
          <w:sz w:val="24"/>
          <w:szCs w:val="24"/>
        </w:rPr>
        <w:t xml:space="preserve">, while </w:t>
      </w:r>
      <w:r w:rsidR="00B74261">
        <w:rPr>
          <w:rFonts w:ascii="Times New Roman" w:hAnsi="Times New Roman" w:cs="Times New Roman"/>
          <w:sz w:val="24"/>
          <w:szCs w:val="24"/>
        </w:rPr>
        <w:t xml:space="preserve">the </w:t>
      </w:r>
      <w:r w:rsidRPr="00AF55A3">
        <w:rPr>
          <w:rFonts w:ascii="Times New Roman" w:hAnsi="Times New Roman" w:cs="Times New Roman"/>
          <w:sz w:val="24"/>
          <w:szCs w:val="24"/>
        </w:rPr>
        <w:t xml:space="preserve">liberal arts college, </w:t>
      </w:r>
      <w:r w:rsidR="00387EF1" w:rsidRPr="00AF55A3">
        <w:rPr>
          <w:rFonts w:ascii="Times New Roman" w:hAnsi="Times New Roman" w:cs="Times New Roman"/>
          <w:sz w:val="24"/>
          <w:szCs w:val="24"/>
        </w:rPr>
        <w:t>particularly</w:t>
      </w:r>
      <w:r w:rsidRPr="00AF55A3">
        <w:rPr>
          <w:rFonts w:ascii="Times New Roman" w:hAnsi="Times New Roman" w:cs="Times New Roman"/>
          <w:sz w:val="24"/>
          <w:szCs w:val="24"/>
        </w:rPr>
        <w:t xml:space="preserve"> the private liberal arts college, has </w:t>
      </w:r>
      <w:r w:rsidR="00B74261">
        <w:rPr>
          <w:rFonts w:ascii="Times New Roman" w:hAnsi="Times New Roman" w:cs="Times New Roman"/>
          <w:sz w:val="24"/>
          <w:szCs w:val="24"/>
        </w:rPr>
        <w:t>weakened</w:t>
      </w:r>
      <w:r w:rsidRPr="00AF55A3">
        <w:rPr>
          <w:rFonts w:ascii="Times New Roman" w:hAnsi="Times New Roman" w:cs="Times New Roman"/>
          <w:sz w:val="24"/>
          <w:szCs w:val="24"/>
        </w:rPr>
        <w:t xml:space="preserve"> over the past 125 years.  </w:t>
      </w:r>
      <w:r w:rsidR="00387EF1" w:rsidRPr="00AF55A3">
        <w:rPr>
          <w:rFonts w:ascii="Times New Roman" w:hAnsi="Times New Roman" w:cs="Times New Roman"/>
          <w:sz w:val="24"/>
          <w:szCs w:val="24"/>
        </w:rPr>
        <w:t>In fact,</w:t>
      </w:r>
      <w:r w:rsidRPr="00AF55A3">
        <w:rPr>
          <w:rFonts w:ascii="Times New Roman" w:hAnsi="Times New Roman" w:cs="Times New Roman"/>
          <w:sz w:val="24"/>
          <w:szCs w:val="24"/>
        </w:rPr>
        <w:t xml:space="preserve"> the university has </w:t>
      </w:r>
      <w:r w:rsidR="00226326" w:rsidRPr="00AF55A3">
        <w:rPr>
          <w:rFonts w:ascii="Times New Roman" w:hAnsi="Times New Roman" w:cs="Times New Roman"/>
          <w:sz w:val="24"/>
          <w:szCs w:val="24"/>
        </w:rPr>
        <w:t>overwhelmed</w:t>
      </w:r>
      <w:r w:rsidRPr="00AF55A3">
        <w:rPr>
          <w:rFonts w:ascii="Times New Roman" w:hAnsi="Times New Roman" w:cs="Times New Roman"/>
          <w:sz w:val="24"/>
          <w:szCs w:val="24"/>
        </w:rPr>
        <w:t xml:space="preserve"> the </w:t>
      </w:r>
      <w:r w:rsidR="00A52EDF" w:rsidRPr="00AF55A3">
        <w:rPr>
          <w:rFonts w:ascii="Times New Roman" w:hAnsi="Times New Roman" w:cs="Times New Roman"/>
          <w:sz w:val="24"/>
          <w:szCs w:val="24"/>
        </w:rPr>
        <w:t xml:space="preserve">beleaguered </w:t>
      </w:r>
      <w:r w:rsidRPr="00AF55A3">
        <w:rPr>
          <w:rFonts w:ascii="Times New Roman" w:hAnsi="Times New Roman" w:cs="Times New Roman"/>
          <w:sz w:val="24"/>
          <w:szCs w:val="24"/>
        </w:rPr>
        <w:t xml:space="preserve">liberal arts college, which has inexorably </w:t>
      </w:r>
      <w:r w:rsidR="00226326" w:rsidRPr="00AF55A3">
        <w:rPr>
          <w:rFonts w:ascii="Times New Roman" w:hAnsi="Times New Roman" w:cs="Times New Roman"/>
          <w:sz w:val="24"/>
          <w:szCs w:val="24"/>
        </w:rPr>
        <w:t xml:space="preserve">declined </w:t>
      </w:r>
      <w:r w:rsidRPr="00AF55A3">
        <w:rPr>
          <w:rFonts w:ascii="Times New Roman" w:hAnsi="Times New Roman" w:cs="Times New Roman"/>
          <w:sz w:val="24"/>
          <w:szCs w:val="24"/>
        </w:rPr>
        <w:t>toward extinction</w:t>
      </w:r>
      <w:r w:rsidR="005B3979" w:rsidRPr="00AF55A3">
        <w:rPr>
          <w:rFonts w:ascii="Times New Roman" w:hAnsi="Times New Roman" w:cs="Times New Roman"/>
          <w:sz w:val="24"/>
          <w:szCs w:val="24"/>
        </w:rPr>
        <w:t xml:space="preserve">, </w:t>
      </w:r>
      <w:r w:rsidR="00B84A8A" w:rsidRPr="00AF55A3">
        <w:rPr>
          <w:rFonts w:ascii="Times New Roman" w:hAnsi="Times New Roman" w:cs="Times New Roman"/>
          <w:sz w:val="24"/>
          <w:szCs w:val="24"/>
        </w:rPr>
        <w:t xml:space="preserve">except for a small </w:t>
      </w:r>
      <w:r w:rsidR="00226326" w:rsidRPr="00AF55A3">
        <w:rPr>
          <w:rFonts w:ascii="Times New Roman" w:hAnsi="Times New Roman" w:cs="Times New Roman"/>
          <w:sz w:val="24"/>
          <w:szCs w:val="24"/>
        </w:rPr>
        <w:t xml:space="preserve">and diminishing </w:t>
      </w:r>
      <w:r w:rsidR="00B84A8A" w:rsidRPr="00AF55A3">
        <w:rPr>
          <w:rFonts w:ascii="Times New Roman" w:hAnsi="Times New Roman" w:cs="Times New Roman"/>
          <w:sz w:val="24"/>
          <w:szCs w:val="24"/>
        </w:rPr>
        <w:t>number of well-endowed outliers.</w:t>
      </w:r>
    </w:p>
    <w:p w:rsidR="00EE3A01" w:rsidRDefault="005B3979" w:rsidP="00AF1BFD">
      <w:pPr>
        <w:spacing w:line="480" w:lineRule="auto"/>
        <w:jc w:val="left"/>
        <w:rPr>
          <w:rFonts w:ascii="Times New Roman" w:hAnsi="Times New Roman" w:cs="Times New Roman"/>
          <w:sz w:val="24"/>
          <w:szCs w:val="24"/>
        </w:rPr>
      </w:pPr>
      <w:r w:rsidRPr="00AF55A3">
        <w:rPr>
          <w:rFonts w:ascii="Times New Roman" w:hAnsi="Times New Roman" w:cs="Times New Roman"/>
          <w:sz w:val="24"/>
          <w:szCs w:val="24"/>
        </w:rPr>
        <w:tab/>
      </w:r>
      <w:r w:rsidR="0032512E" w:rsidRPr="00AF55A3">
        <w:rPr>
          <w:rFonts w:ascii="Times New Roman" w:hAnsi="Times New Roman" w:cs="Times New Roman"/>
          <w:sz w:val="24"/>
          <w:szCs w:val="24"/>
        </w:rPr>
        <w:t xml:space="preserve">Some of the most </w:t>
      </w:r>
      <w:r w:rsidR="00FD2152">
        <w:rPr>
          <w:rFonts w:ascii="Times New Roman" w:hAnsi="Times New Roman" w:cs="Times New Roman"/>
          <w:sz w:val="24"/>
          <w:szCs w:val="24"/>
        </w:rPr>
        <w:t>prominent</w:t>
      </w:r>
      <w:r w:rsidR="0032512E" w:rsidRPr="00AF55A3">
        <w:rPr>
          <w:rFonts w:ascii="Times New Roman" w:hAnsi="Times New Roman" w:cs="Times New Roman"/>
          <w:sz w:val="24"/>
          <w:szCs w:val="24"/>
        </w:rPr>
        <w:t xml:space="preserve"> documents in the declension literature include the following.  In 1884 </w:t>
      </w:r>
      <w:r w:rsidR="00DB42E0">
        <w:rPr>
          <w:rFonts w:ascii="Times New Roman" w:hAnsi="Times New Roman" w:cs="Times New Roman"/>
          <w:sz w:val="24"/>
          <w:szCs w:val="24"/>
        </w:rPr>
        <w:t xml:space="preserve">a </w:t>
      </w:r>
      <w:r w:rsidR="0032512E" w:rsidRPr="00AF55A3">
        <w:rPr>
          <w:rFonts w:ascii="Times New Roman" w:hAnsi="Times New Roman" w:cs="Times New Roman"/>
          <w:sz w:val="24"/>
          <w:szCs w:val="24"/>
        </w:rPr>
        <w:t xml:space="preserve">leading professors at Columbia University, John W. Burgess, published a treatise in which he wrote, </w:t>
      </w:r>
      <w:r w:rsidR="004E066A" w:rsidRPr="00AF55A3">
        <w:rPr>
          <w:rFonts w:ascii="Times New Roman" w:hAnsi="Times New Roman" w:cs="Times New Roman"/>
          <w:sz w:val="24"/>
          <w:szCs w:val="24"/>
        </w:rPr>
        <w:t>“I am unable to divine what is to be ultimately the position of Colleges, which cannot become Universities and which will not be Gymnasia.  I cannot see what reason they will have to exist.  It will be largely a waste of capital to maintain them, and largely a waste of time to attend them. It is so now.”</w:t>
      </w:r>
      <w:r w:rsidR="00D339D0" w:rsidRPr="00AF55A3">
        <w:rPr>
          <w:rStyle w:val="FootnoteReference"/>
          <w:rFonts w:cs="Times New Roman"/>
          <w:sz w:val="24"/>
          <w:szCs w:val="24"/>
        </w:rPr>
        <w:footnoteReference w:id="1"/>
      </w:r>
      <w:r w:rsidR="00D339D0" w:rsidRPr="00AF55A3">
        <w:rPr>
          <w:rFonts w:ascii="Times New Roman" w:hAnsi="Times New Roman" w:cs="Times New Roman"/>
          <w:sz w:val="24"/>
          <w:szCs w:val="24"/>
        </w:rPr>
        <w:t xml:space="preserve"> In 1900 William Rainey Harper, the founding and reforming </w:t>
      </w:r>
      <w:r w:rsidR="00D339D0" w:rsidRPr="00AF55A3">
        <w:rPr>
          <w:rFonts w:ascii="Times New Roman" w:hAnsi="Times New Roman" w:cs="Times New Roman"/>
          <w:sz w:val="24"/>
          <w:szCs w:val="24"/>
        </w:rPr>
        <w:lastRenderedPageBreak/>
        <w:t>president of the University of Chicago, announced that nearly all liberal arts colleges would fail, unless they evolved into universities or devolved into two-year junior colleges.</w:t>
      </w:r>
      <w:r w:rsidR="00D339D0" w:rsidRPr="00AF55A3">
        <w:rPr>
          <w:rStyle w:val="FootnoteReference"/>
          <w:rFonts w:cs="Times New Roman"/>
          <w:sz w:val="24"/>
          <w:szCs w:val="24"/>
        </w:rPr>
        <w:footnoteReference w:id="2"/>
      </w:r>
      <w:r w:rsidR="00D339D0" w:rsidRPr="00AF55A3">
        <w:rPr>
          <w:rFonts w:ascii="Times New Roman" w:hAnsi="Times New Roman" w:cs="Times New Roman"/>
          <w:sz w:val="24"/>
          <w:szCs w:val="24"/>
        </w:rPr>
        <w:t xml:space="preserve">  Echoing Harper in 1902, Nicholas Murray Butler, the new president of Columbia University, argued that the four-year B.A. college course was no longer viable at Columbia or elsewhere.</w:t>
      </w:r>
      <w:r w:rsidR="00D339D0" w:rsidRPr="00AF55A3">
        <w:rPr>
          <w:rStyle w:val="FootnoteReference"/>
          <w:rFonts w:cs="Times New Roman"/>
          <w:sz w:val="24"/>
          <w:szCs w:val="24"/>
        </w:rPr>
        <w:footnoteReference w:id="3"/>
      </w:r>
      <w:r w:rsidR="00D339D0" w:rsidRPr="00AF55A3">
        <w:rPr>
          <w:rFonts w:ascii="Times New Roman" w:hAnsi="Times New Roman" w:cs="Times New Roman"/>
          <w:sz w:val="24"/>
          <w:szCs w:val="24"/>
        </w:rPr>
        <w:t xml:space="preserve">  In the following year, President David Starr Jordan of Stanford University published an essay famously </w:t>
      </w:r>
      <w:r w:rsidR="00414562">
        <w:rPr>
          <w:rFonts w:ascii="Times New Roman" w:hAnsi="Times New Roman" w:cs="Times New Roman"/>
          <w:sz w:val="24"/>
          <w:szCs w:val="24"/>
        </w:rPr>
        <w:t>stating:  “</w:t>
      </w:r>
      <w:r w:rsidR="00D339D0" w:rsidRPr="00AF55A3">
        <w:rPr>
          <w:rFonts w:ascii="Times New Roman" w:hAnsi="Times New Roman" w:cs="Times New Roman"/>
          <w:sz w:val="24"/>
          <w:szCs w:val="24"/>
        </w:rPr>
        <w:t>The college is a small university, antiquated, belated, arrested, starved, as the case may be....As time goes on, the college will disappear in fact, if not in name.”</w:t>
      </w:r>
      <w:r w:rsidR="00D339D0" w:rsidRPr="00AF55A3">
        <w:rPr>
          <w:rStyle w:val="FootnoteReference"/>
          <w:rFonts w:cs="Times New Roman"/>
          <w:sz w:val="24"/>
          <w:szCs w:val="24"/>
        </w:rPr>
        <w:footnoteReference w:id="4"/>
      </w:r>
      <w:r w:rsidR="007577EC">
        <w:rPr>
          <w:rFonts w:ascii="Times New Roman" w:hAnsi="Times New Roman" w:cs="Times New Roman"/>
          <w:sz w:val="24"/>
          <w:szCs w:val="24"/>
        </w:rPr>
        <w:t xml:space="preserve">  </w:t>
      </w:r>
    </w:p>
    <w:p w:rsidR="00D339D0" w:rsidRPr="00AF55A3" w:rsidRDefault="00EE3A01" w:rsidP="00AF1BFD">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7577EC">
        <w:rPr>
          <w:rFonts w:ascii="Times New Roman" w:hAnsi="Times New Roman" w:cs="Times New Roman"/>
          <w:sz w:val="24"/>
          <w:szCs w:val="24"/>
        </w:rPr>
        <w:t xml:space="preserve">In 1924 </w:t>
      </w:r>
      <w:r w:rsidR="0082723C">
        <w:rPr>
          <w:rFonts w:ascii="Times New Roman" w:hAnsi="Times New Roman" w:cs="Times New Roman"/>
          <w:sz w:val="24"/>
          <w:szCs w:val="24"/>
        </w:rPr>
        <w:t xml:space="preserve">those university prophets were invoked by </w:t>
      </w:r>
      <w:r w:rsidR="0082723C" w:rsidRPr="00AF55A3">
        <w:rPr>
          <w:rFonts w:ascii="Times New Roman" w:hAnsi="Times New Roman" w:cs="Times New Roman"/>
          <w:sz w:val="24"/>
          <w:szCs w:val="24"/>
        </w:rPr>
        <w:t>Leon Richardson</w:t>
      </w:r>
      <w:r w:rsidR="0082723C">
        <w:rPr>
          <w:rFonts w:ascii="Times New Roman" w:hAnsi="Times New Roman" w:cs="Times New Roman"/>
          <w:sz w:val="24"/>
          <w:szCs w:val="24"/>
        </w:rPr>
        <w:t xml:space="preserve"> in </w:t>
      </w:r>
      <w:r w:rsidR="0082723C" w:rsidRPr="00AF55A3">
        <w:rPr>
          <w:rFonts w:ascii="Times New Roman" w:hAnsi="Times New Roman" w:cs="Times New Roman"/>
          <w:i/>
          <w:sz w:val="24"/>
          <w:szCs w:val="24"/>
        </w:rPr>
        <w:t>A Study of the Liberal College</w:t>
      </w:r>
      <w:r w:rsidR="0082723C">
        <w:rPr>
          <w:rFonts w:ascii="Times New Roman" w:hAnsi="Times New Roman" w:cs="Times New Roman"/>
          <w:sz w:val="24"/>
          <w:szCs w:val="24"/>
        </w:rPr>
        <w:t xml:space="preserve">, and </w:t>
      </w:r>
      <w:r w:rsidR="007577EC">
        <w:rPr>
          <w:rFonts w:ascii="Times New Roman" w:hAnsi="Times New Roman" w:cs="Times New Roman"/>
          <w:sz w:val="24"/>
          <w:szCs w:val="24"/>
        </w:rPr>
        <w:t xml:space="preserve">a process of  documentary sedimentation </w:t>
      </w:r>
      <w:r w:rsidR="0082723C">
        <w:rPr>
          <w:rFonts w:ascii="Times New Roman" w:hAnsi="Times New Roman" w:cs="Times New Roman"/>
          <w:sz w:val="24"/>
          <w:szCs w:val="24"/>
        </w:rPr>
        <w:t xml:space="preserve">thus </w:t>
      </w:r>
      <w:r w:rsidR="007577EC">
        <w:rPr>
          <w:rFonts w:ascii="Times New Roman" w:hAnsi="Times New Roman" w:cs="Times New Roman"/>
          <w:sz w:val="24"/>
          <w:szCs w:val="24"/>
        </w:rPr>
        <w:t>commenced</w:t>
      </w:r>
      <w:r w:rsidR="00D339D0" w:rsidRPr="00AF55A3">
        <w:rPr>
          <w:rFonts w:ascii="Times New Roman" w:hAnsi="Times New Roman" w:cs="Times New Roman"/>
          <w:sz w:val="24"/>
          <w:szCs w:val="24"/>
        </w:rPr>
        <w:t>.</w:t>
      </w:r>
      <w:r w:rsidR="00D339D0" w:rsidRPr="00AF55A3">
        <w:rPr>
          <w:rStyle w:val="FootnoteReference"/>
          <w:rFonts w:cs="Times New Roman"/>
          <w:sz w:val="24"/>
          <w:szCs w:val="24"/>
        </w:rPr>
        <w:footnoteReference w:id="5"/>
      </w:r>
      <w:r w:rsidR="00414562">
        <w:rPr>
          <w:rFonts w:ascii="Times New Roman" w:hAnsi="Times New Roman" w:cs="Times New Roman"/>
          <w:sz w:val="24"/>
          <w:szCs w:val="24"/>
        </w:rPr>
        <w:t xml:space="preserve">  In 1962 Richardson’s study was </w:t>
      </w:r>
      <w:r w:rsidR="00B74261">
        <w:rPr>
          <w:rFonts w:ascii="Times New Roman" w:hAnsi="Times New Roman" w:cs="Times New Roman"/>
          <w:sz w:val="24"/>
          <w:szCs w:val="24"/>
        </w:rPr>
        <w:t>referenced</w:t>
      </w:r>
      <w:r w:rsidR="00D339D0" w:rsidRPr="00AF55A3">
        <w:rPr>
          <w:rFonts w:ascii="Times New Roman" w:hAnsi="Times New Roman" w:cs="Times New Roman"/>
          <w:sz w:val="24"/>
          <w:szCs w:val="24"/>
        </w:rPr>
        <w:t xml:space="preserve"> by another major document in the declension literature, the landmark history of the American college and university </w:t>
      </w:r>
      <w:r w:rsidR="00414562">
        <w:rPr>
          <w:rFonts w:ascii="Times New Roman" w:hAnsi="Times New Roman" w:cs="Times New Roman"/>
          <w:sz w:val="24"/>
          <w:szCs w:val="24"/>
        </w:rPr>
        <w:t>authored by Frederick Rudolph</w:t>
      </w:r>
      <w:r w:rsidR="00D339D0" w:rsidRPr="00AF55A3">
        <w:rPr>
          <w:rFonts w:ascii="Times New Roman" w:hAnsi="Times New Roman" w:cs="Times New Roman"/>
          <w:sz w:val="24"/>
          <w:szCs w:val="24"/>
        </w:rPr>
        <w:t>. In a closing chapter, Rudolph cited all the foregoing sources, while quoting the provocative words of Jordan.</w:t>
      </w:r>
      <w:r w:rsidR="00D339D0" w:rsidRPr="00AF55A3">
        <w:rPr>
          <w:rStyle w:val="FootnoteReference"/>
          <w:rFonts w:cs="Times New Roman"/>
          <w:sz w:val="24"/>
          <w:szCs w:val="24"/>
        </w:rPr>
        <w:footnoteReference w:id="6"/>
      </w:r>
      <w:r>
        <w:rPr>
          <w:rFonts w:ascii="Times New Roman" w:hAnsi="Times New Roman" w:cs="Times New Roman"/>
          <w:sz w:val="24"/>
          <w:szCs w:val="24"/>
        </w:rPr>
        <w:t xml:space="preserve">  </w:t>
      </w:r>
      <w:r w:rsidR="00D339D0" w:rsidRPr="00AF55A3">
        <w:rPr>
          <w:rFonts w:ascii="Times New Roman" w:hAnsi="Times New Roman" w:cs="Times New Roman"/>
          <w:sz w:val="24"/>
          <w:szCs w:val="24"/>
        </w:rPr>
        <w:t xml:space="preserve">Rudolph’s book rapidly became the standard history of American higher education, and his references to </w:t>
      </w:r>
      <w:r w:rsidR="0082723C">
        <w:rPr>
          <w:rFonts w:ascii="Times New Roman" w:hAnsi="Times New Roman" w:cs="Times New Roman"/>
          <w:sz w:val="24"/>
          <w:szCs w:val="24"/>
        </w:rPr>
        <w:t xml:space="preserve">the university </w:t>
      </w:r>
      <w:r w:rsidR="00C12FE4">
        <w:rPr>
          <w:rFonts w:ascii="Times New Roman" w:hAnsi="Times New Roman" w:cs="Times New Roman"/>
          <w:sz w:val="24"/>
          <w:szCs w:val="24"/>
        </w:rPr>
        <w:t>advocates</w:t>
      </w:r>
      <w:r w:rsidR="0082723C">
        <w:rPr>
          <w:rFonts w:ascii="Times New Roman" w:hAnsi="Times New Roman" w:cs="Times New Roman"/>
          <w:sz w:val="24"/>
          <w:szCs w:val="24"/>
        </w:rPr>
        <w:t xml:space="preserve"> </w:t>
      </w:r>
      <w:r w:rsidR="00D339D0" w:rsidRPr="00AF55A3">
        <w:rPr>
          <w:rFonts w:ascii="Times New Roman" w:hAnsi="Times New Roman" w:cs="Times New Roman"/>
          <w:sz w:val="24"/>
          <w:szCs w:val="24"/>
        </w:rPr>
        <w:t xml:space="preserve">were subsequently adduced to evidence the 125-year declension. </w:t>
      </w:r>
      <w:r w:rsidR="00414562">
        <w:rPr>
          <w:rFonts w:ascii="Times New Roman" w:hAnsi="Times New Roman" w:cs="Times New Roman"/>
          <w:sz w:val="24"/>
          <w:szCs w:val="24"/>
        </w:rPr>
        <w:t xml:space="preserve"> </w:t>
      </w:r>
      <w:r w:rsidR="00D339D0" w:rsidRPr="00AF55A3">
        <w:rPr>
          <w:rFonts w:ascii="Times New Roman" w:hAnsi="Times New Roman" w:cs="Times New Roman"/>
          <w:sz w:val="24"/>
          <w:szCs w:val="24"/>
        </w:rPr>
        <w:t xml:space="preserve">For example, </w:t>
      </w:r>
      <w:r w:rsidR="00226326" w:rsidRPr="00AF55A3">
        <w:rPr>
          <w:rFonts w:ascii="Times New Roman" w:hAnsi="Times New Roman" w:cs="Times New Roman"/>
          <w:sz w:val="24"/>
          <w:szCs w:val="24"/>
        </w:rPr>
        <w:t>in a collection of essays marking the 75th anniversary of the Association of American Colleges</w:t>
      </w:r>
      <w:r w:rsidR="00B74261">
        <w:rPr>
          <w:rFonts w:ascii="Times New Roman" w:hAnsi="Times New Roman" w:cs="Times New Roman"/>
          <w:sz w:val="24"/>
          <w:szCs w:val="24"/>
        </w:rPr>
        <w:t xml:space="preserve"> in 1988</w:t>
      </w:r>
      <w:r w:rsidR="00226326" w:rsidRPr="00AF55A3">
        <w:rPr>
          <w:rFonts w:ascii="Times New Roman" w:hAnsi="Times New Roman" w:cs="Times New Roman"/>
          <w:sz w:val="24"/>
          <w:szCs w:val="24"/>
        </w:rPr>
        <w:t>, the president</w:t>
      </w:r>
      <w:r w:rsidR="00B74261">
        <w:rPr>
          <w:rFonts w:ascii="Times New Roman" w:hAnsi="Times New Roman" w:cs="Times New Roman"/>
          <w:sz w:val="24"/>
          <w:szCs w:val="24"/>
        </w:rPr>
        <w:t>,</w:t>
      </w:r>
      <w:r w:rsidR="00226326" w:rsidRPr="00AF55A3">
        <w:rPr>
          <w:rFonts w:ascii="Times New Roman" w:hAnsi="Times New Roman" w:cs="Times New Roman"/>
          <w:sz w:val="24"/>
          <w:szCs w:val="24"/>
        </w:rPr>
        <w:t xml:space="preserve"> historian </w:t>
      </w:r>
      <w:r w:rsidR="00D339D0" w:rsidRPr="00AF55A3">
        <w:rPr>
          <w:rFonts w:ascii="Times New Roman" w:hAnsi="Times New Roman" w:cs="Times New Roman"/>
          <w:sz w:val="24"/>
          <w:szCs w:val="24"/>
        </w:rPr>
        <w:t>Mark Curtis</w:t>
      </w:r>
      <w:r w:rsidR="00B74261">
        <w:rPr>
          <w:rFonts w:ascii="Times New Roman" w:hAnsi="Times New Roman" w:cs="Times New Roman"/>
          <w:sz w:val="24"/>
          <w:szCs w:val="24"/>
        </w:rPr>
        <w:t>,</w:t>
      </w:r>
      <w:r w:rsidR="00226326" w:rsidRPr="00AF55A3">
        <w:rPr>
          <w:rFonts w:ascii="Times New Roman" w:hAnsi="Times New Roman" w:cs="Times New Roman"/>
          <w:sz w:val="24"/>
          <w:szCs w:val="24"/>
        </w:rPr>
        <w:t xml:space="preserve"> invoked </w:t>
      </w:r>
      <w:r w:rsidR="00226326" w:rsidRPr="00AF55A3">
        <w:rPr>
          <w:rFonts w:ascii="Times New Roman" w:hAnsi="Times New Roman" w:cs="Times New Roman"/>
          <w:sz w:val="24"/>
          <w:szCs w:val="24"/>
        </w:rPr>
        <w:lastRenderedPageBreak/>
        <w:t>Rudolph’s account</w:t>
      </w:r>
      <w:r w:rsidR="00D339D0" w:rsidRPr="00AF55A3">
        <w:rPr>
          <w:rFonts w:ascii="Times New Roman" w:hAnsi="Times New Roman" w:cs="Times New Roman"/>
          <w:sz w:val="24"/>
          <w:szCs w:val="24"/>
        </w:rPr>
        <w:t>.</w:t>
      </w:r>
      <w:r w:rsidR="00D339D0" w:rsidRPr="00AF55A3">
        <w:rPr>
          <w:rStyle w:val="FootnoteReference"/>
          <w:rFonts w:cs="Times New Roman"/>
          <w:sz w:val="24"/>
          <w:szCs w:val="24"/>
        </w:rPr>
        <w:footnoteReference w:id="7"/>
      </w:r>
      <w:r w:rsidR="00D339D0" w:rsidRPr="00AF55A3">
        <w:rPr>
          <w:rFonts w:ascii="Times New Roman" w:hAnsi="Times New Roman" w:cs="Times New Roman"/>
          <w:sz w:val="24"/>
          <w:szCs w:val="24"/>
        </w:rPr>
        <w:t xml:space="preserve">  In 1993 Curtis’s references appeared in a collection of essays </w:t>
      </w:r>
      <w:r w:rsidR="00226326" w:rsidRPr="00AF55A3">
        <w:rPr>
          <w:rFonts w:ascii="Times New Roman" w:hAnsi="Times New Roman" w:cs="Times New Roman"/>
          <w:sz w:val="24"/>
          <w:szCs w:val="24"/>
        </w:rPr>
        <w:t>on the future of American h</w:t>
      </w:r>
      <w:r w:rsidR="00D339D0" w:rsidRPr="00AF55A3">
        <w:rPr>
          <w:rFonts w:ascii="Times New Roman" w:hAnsi="Times New Roman" w:cs="Times New Roman"/>
          <w:sz w:val="24"/>
          <w:szCs w:val="24"/>
        </w:rPr>
        <w:t xml:space="preserve">igher </w:t>
      </w:r>
      <w:r w:rsidR="00226326" w:rsidRPr="00AF55A3">
        <w:rPr>
          <w:rFonts w:ascii="Times New Roman" w:hAnsi="Times New Roman" w:cs="Times New Roman"/>
          <w:sz w:val="24"/>
          <w:szCs w:val="24"/>
        </w:rPr>
        <w:t>e</w:t>
      </w:r>
      <w:r w:rsidR="00D339D0" w:rsidRPr="00AF55A3">
        <w:rPr>
          <w:rFonts w:ascii="Times New Roman" w:hAnsi="Times New Roman" w:cs="Times New Roman"/>
          <w:sz w:val="24"/>
          <w:szCs w:val="24"/>
        </w:rPr>
        <w:t>ducation edited by Arthur Levine, president of the Woodrow Wilson Fellowship Foundation.</w:t>
      </w:r>
      <w:r w:rsidR="00D339D0" w:rsidRPr="00AF55A3">
        <w:rPr>
          <w:rStyle w:val="FootnoteReference"/>
          <w:rFonts w:cs="Times New Roman"/>
          <w:sz w:val="24"/>
          <w:szCs w:val="24"/>
        </w:rPr>
        <w:footnoteReference w:id="8"/>
      </w:r>
      <w:r w:rsidR="00D339D0" w:rsidRPr="00AF55A3">
        <w:rPr>
          <w:rFonts w:ascii="Times New Roman" w:hAnsi="Times New Roman" w:cs="Times New Roman"/>
          <w:sz w:val="24"/>
          <w:szCs w:val="24"/>
        </w:rPr>
        <w:t xml:space="preserve"> </w:t>
      </w:r>
    </w:p>
    <w:p w:rsidR="00D339D0" w:rsidRPr="00AF55A3" w:rsidRDefault="00D339D0" w:rsidP="00AF1BFD">
      <w:pPr>
        <w:spacing w:line="480" w:lineRule="auto"/>
        <w:jc w:val="left"/>
        <w:rPr>
          <w:rFonts w:ascii="Times New Roman" w:hAnsi="Times New Roman" w:cs="Times New Roman"/>
          <w:sz w:val="24"/>
          <w:szCs w:val="24"/>
        </w:rPr>
      </w:pPr>
      <w:r w:rsidRPr="00AF55A3">
        <w:rPr>
          <w:rFonts w:ascii="Times New Roman" w:hAnsi="Times New Roman" w:cs="Times New Roman"/>
          <w:sz w:val="24"/>
          <w:szCs w:val="24"/>
        </w:rPr>
        <w:tab/>
        <w:t xml:space="preserve">In the following year, economist David Breneman, former president of Kalamazoo College, published his acclaimed </w:t>
      </w:r>
      <w:r w:rsidRPr="00AF55A3">
        <w:rPr>
          <w:rFonts w:ascii="Times New Roman" w:hAnsi="Times New Roman" w:cs="Times New Roman"/>
          <w:i/>
          <w:iCs/>
          <w:sz w:val="24"/>
          <w:szCs w:val="24"/>
        </w:rPr>
        <w:t xml:space="preserve">Liberal </w:t>
      </w:r>
      <w:r w:rsidR="00103545" w:rsidRPr="00AF55A3">
        <w:rPr>
          <w:rFonts w:ascii="Times New Roman" w:hAnsi="Times New Roman" w:cs="Times New Roman"/>
          <w:i/>
          <w:iCs/>
          <w:sz w:val="24"/>
          <w:szCs w:val="24"/>
        </w:rPr>
        <w:t>Arts Colleges: Thriving, Surviving, or Endangered</w:t>
      </w:r>
      <w:r w:rsidRPr="00AF55A3">
        <w:rPr>
          <w:rFonts w:ascii="Times New Roman" w:hAnsi="Times New Roman" w:cs="Times New Roman"/>
          <w:i/>
          <w:iCs/>
          <w:sz w:val="24"/>
          <w:szCs w:val="24"/>
        </w:rPr>
        <w:t>?</w:t>
      </w:r>
      <w:r w:rsidRPr="00AF55A3">
        <w:rPr>
          <w:rFonts w:ascii="Times New Roman" w:hAnsi="Times New Roman" w:cs="Times New Roman"/>
          <w:iCs/>
          <w:sz w:val="24"/>
          <w:szCs w:val="24"/>
        </w:rPr>
        <w:t>, and cited to Rudolph on “</w:t>
      </w:r>
      <w:r w:rsidRPr="00AF55A3">
        <w:rPr>
          <w:rFonts w:ascii="Times New Roman" w:hAnsi="Times New Roman" w:cs="Times New Roman"/>
          <w:sz w:val="24"/>
          <w:szCs w:val="24"/>
        </w:rPr>
        <w:t xml:space="preserve">The </w:t>
      </w:r>
      <w:r w:rsidR="00D324E6" w:rsidRPr="00AF55A3">
        <w:rPr>
          <w:rFonts w:ascii="Times New Roman" w:hAnsi="Times New Roman" w:cs="Times New Roman"/>
          <w:sz w:val="24"/>
          <w:szCs w:val="24"/>
        </w:rPr>
        <w:t>Harper-Butler-Jordan Forecasts o</w:t>
      </w:r>
      <w:r w:rsidRPr="00AF55A3">
        <w:rPr>
          <w:rFonts w:ascii="Times New Roman" w:hAnsi="Times New Roman" w:cs="Times New Roman"/>
          <w:sz w:val="24"/>
          <w:szCs w:val="24"/>
        </w:rPr>
        <w:t xml:space="preserve">f Demise.” </w:t>
      </w:r>
      <w:r w:rsidR="00D324E6" w:rsidRPr="00AF55A3">
        <w:rPr>
          <w:rFonts w:ascii="Times New Roman" w:hAnsi="Times New Roman" w:cs="Times New Roman"/>
          <w:sz w:val="24"/>
          <w:szCs w:val="24"/>
        </w:rPr>
        <w:t xml:space="preserve"> </w:t>
      </w:r>
      <w:r w:rsidRPr="00AF55A3">
        <w:rPr>
          <w:rFonts w:ascii="Times New Roman" w:hAnsi="Times New Roman" w:cs="Times New Roman"/>
          <w:sz w:val="24"/>
          <w:szCs w:val="24"/>
        </w:rPr>
        <w:t>Breneman calculated th</w:t>
      </w:r>
      <w:r w:rsidR="005833C8">
        <w:rPr>
          <w:rFonts w:ascii="Times New Roman" w:hAnsi="Times New Roman" w:cs="Times New Roman"/>
          <w:sz w:val="24"/>
          <w:szCs w:val="24"/>
        </w:rPr>
        <w:t>at there remained</w:t>
      </w:r>
      <w:r w:rsidRPr="00AF55A3">
        <w:rPr>
          <w:rFonts w:ascii="Times New Roman" w:hAnsi="Times New Roman" w:cs="Times New Roman"/>
          <w:sz w:val="24"/>
          <w:szCs w:val="24"/>
        </w:rPr>
        <w:t xml:space="preserve"> only about 206 liberal arts colleges that awarded at least 40 percent of their degrees in the liberal arts, as opposed to professional fields.</w:t>
      </w:r>
      <w:r w:rsidRPr="00AF55A3">
        <w:rPr>
          <w:rStyle w:val="FootnoteReference"/>
          <w:rFonts w:cs="Times New Roman"/>
          <w:sz w:val="24"/>
          <w:szCs w:val="24"/>
        </w:rPr>
        <w:footnoteReference w:id="9"/>
      </w:r>
      <w:r w:rsidRPr="00AF55A3">
        <w:rPr>
          <w:rFonts w:ascii="Times New Roman" w:hAnsi="Times New Roman" w:cs="Times New Roman"/>
          <w:sz w:val="24"/>
          <w:szCs w:val="24"/>
        </w:rPr>
        <w:t xml:space="preserve">  </w:t>
      </w:r>
      <w:r w:rsidR="00B74261">
        <w:rPr>
          <w:rFonts w:ascii="Times New Roman" w:hAnsi="Times New Roman" w:cs="Times New Roman"/>
          <w:sz w:val="24"/>
          <w:szCs w:val="24"/>
        </w:rPr>
        <w:t>His</w:t>
      </w:r>
      <w:r w:rsidRPr="00AF55A3">
        <w:rPr>
          <w:rFonts w:ascii="Times New Roman" w:hAnsi="Times New Roman" w:cs="Times New Roman"/>
          <w:sz w:val="24"/>
          <w:szCs w:val="24"/>
        </w:rPr>
        <w:t xml:space="preserve"> book served to place the liberal arts college on the list of endangered species</w:t>
      </w:r>
      <w:r w:rsidR="00B74261">
        <w:rPr>
          <w:rFonts w:ascii="Times New Roman" w:hAnsi="Times New Roman" w:cs="Times New Roman"/>
          <w:sz w:val="24"/>
          <w:szCs w:val="24"/>
        </w:rPr>
        <w:t xml:space="preserve">, and </w:t>
      </w:r>
      <w:r w:rsidRPr="00AF55A3">
        <w:rPr>
          <w:rFonts w:ascii="Times New Roman" w:hAnsi="Times New Roman" w:cs="Times New Roman"/>
          <w:sz w:val="24"/>
          <w:szCs w:val="24"/>
        </w:rPr>
        <w:t xml:space="preserve">the authority and prominence of Rudolph and Breneman, referencing </w:t>
      </w:r>
      <w:r w:rsidR="00B74261">
        <w:rPr>
          <w:rFonts w:ascii="Times New Roman" w:hAnsi="Times New Roman" w:cs="Times New Roman"/>
          <w:sz w:val="24"/>
          <w:szCs w:val="24"/>
        </w:rPr>
        <w:t>the earlier works, subsequently</w:t>
      </w:r>
      <w:r w:rsidRPr="00AF55A3">
        <w:rPr>
          <w:rFonts w:ascii="Times New Roman" w:hAnsi="Times New Roman" w:cs="Times New Roman"/>
          <w:sz w:val="24"/>
          <w:szCs w:val="24"/>
        </w:rPr>
        <w:t xml:space="preserve"> contributed to the proliferation of the declension narrative.</w:t>
      </w:r>
    </w:p>
    <w:p w:rsidR="00D339D0" w:rsidRPr="00AF55A3" w:rsidRDefault="00D339D0" w:rsidP="00AF1BFD">
      <w:pPr>
        <w:spacing w:line="480" w:lineRule="auto"/>
        <w:jc w:val="left"/>
        <w:rPr>
          <w:rFonts w:ascii="Times New Roman" w:hAnsi="Times New Roman" w:cs="Times New Roman"/>
          <w:sz w:val="24"/>
          <w:szCs w:val="24"/>
        </w:rPr>
      </w:pPr>
      <w:r w:rsidRPr="00AF55A3">
        <w:rPr>
          <w:rFonts w:ascii="Times New Roman" w:hAnsi="Times New Roman" w:cs="Times New Roman"/>
          <w:sz w:val="24"/>
          <w:szCs w:val="24"/>
        </w:rPr>
        <w:tab/>
        <w:t xml:space="preserve">In 1999 </w:t>
      </w:r>
      <w:r w:rsidR="00995F87" w:rsidRPr="00AF55A3">
        <w:rPr>
          <w:rFonts w:ascii="Times New Roman" w:hAnsi="Times New Roman" w:cs="Times New Roman"/>
          <w:sz w:val="24"/>
          <w:szCs w:val="24"/>
        </w:rPr>
        <w:t xml:space="preserve">economists Michael McPherson, now president of the Spencer Foundation, and Morton Schapiro, now president of  Northwestern University, relied on </w:t>
      </w:r>
      <w:r w:rsidRPr="00AF55A3">
        <w:rPr>
          <w:rFonts w:ascii="Times New Roman" w:hAnsi="Times New Roman" w:cs="Times New Roman"/>
          <w:sz w:val="24"/>
          <w:szCs w:val="24"/>
        </w:rPr>
        <w:t xml:space="preserve">Breneman </w:t>
      </w:r>
      <w:r w:rsidR="00995F87" w:rsidRPr="00AF55A3">
        <w:rPr>
          <w:rFonts w:ascii="Times New Roman" w:hAnsi="Times New Roman" w:cs="Times New Roman"/>
          <w:sz w:val="24"/>
          <w:szCs w:val="24"/>
        </w:rPr>
        <w:t xml:space="preserve">in </w:t>
      </w:r>
      <w:r w:rsidR="00B74261">
        <w:rPr>
          <w:rFonts w:ascii="Times New Roman" w:hAnsi="Times New Roman" w:cs="Times New Roman"/>
          <w:sz w:val="24"/>
          <w:szCs w:val="24"/>
        </w:rPr>
        <w:t>a noted essay published b</w:t>
      </w:r>
      <w:r w:rsidR="00995F87" w:rsidRPr="00AF55A3">
        <w:rPr>
          <w:rFonts w:ascii="Times New Roman" w:hAnsi="Times New Roman" w:cs="Times New Roman"/>
          <w:sz w:val="24"/>
          <w:szCs w:val="24"/>
        </w:rPr>
        <w:t>y the American Academy of Arts and Sciences</w:t>
      </w:r>
      <w:r w:rsidR="00A30AA2">
        <w:rPr>
          <w:rFonts w:ascii="Times New Roman" w:hAnsi="Times New Roman" w:cs="Times New Roman"/>
          <w:sz w:val="24"/>
          <w:szCs w:val="24"/>
        </w:rPr>
        <w:t xml:space="preserve"> in a collection on the liberal arts college</w:t>
      </w:r>
      <w:r w:rsidR="00995F87" w:rsidRPr="00AF55A3">
        <w:rPr>
          <w:rFonts w:ascii="Times New Roman" w:hAnsi="Times New Roman" w:cs="Times New Roman"/>
          <w:sz w:val="24"/>
          <w:szCs w:val="24"/>
        </w:rPr>
        <w:t xml:space="preserve">.  McPherson and Shapiro </w:t>
      </w:r>
      <w:r w:rsidRPr="00AF55A3">
        <w:rPr>
          <w:rFonts w:ascii="Times New Roman" w:hAnsi="Times New Roman" w:cs="Times New Roman"/>
          <w:sz w:val="24"/>
          <w:szCs w:val="24"/>
        </w:rPr>
        <w:t>concluded that only about 100,000 students attend colleges where most students major in the liberal arts.</w:t>
      </w:r>
      <w:r w:rsidRPr="00AF55A3">
        <w:rPr>
          <w:rStyle w:val="FootnoteReference"/>
          <w:rFonts w:cs="Times New Roman"/>
          <w:sz w:val="24"/>
          <w:szCs w:val="24"/>
        </w:rPr>
        <w:footnoteReference w:id="10"/>
      </w:r>
      <w:r w:rsidRPr="00AF55A3">
        <w:rPr>
          <w:rFonts w:ascii="Times New Roman" w:hAnsi="Times New Roman" w:cs="Times New Roman"/>
          <w:sz w:val="24"/>
          <w:szCs w:val="24"/>
        </w:rPr>
        <w:t xml:space="preserve">  In 2005, at a conference on the liberal arts </w:t>
      </w:r>
      <w:r w:rsidRPr="00AF55A3">
        <w:rPr>
          <w:rFonts w:ascii="Times New Roman" w:hAnsi="Times New Roman" w:cs="Times New Roman"/>
          <w:sz w:val="24"/>
          <w:szCs w:val="24"/>
        </w:rPr>
        <w:lastRenderedPageBreak/>
        <w:t>college sponsored by the American Council of Learned Societies, the distinguished historian and president emeritus of Williams College, Francis Oakley</w:t>
      </w:r>
      <w:r w:rsidR="00B35851">
        <w:rPr>
          <w:rFonts w:ascii="Times New Roman" w:hAnsi="Times New Roman" w:cs="Times New Roman"/>
          <w:sz w:val="24"/>
          <w:szCs w:val="24"/>
        </w:rPr>
        <w:t>,</w:t>
      </w:r>
      <w:r w:rsidRPr="00AF55A3">
        <w:rPr>
          <w:rFonts w:ascii="Times New Roman" w:hAnsi="Times New Roman" w:cs="Times New Roman"/>
          <w:sz w:val="24"/>
          <w:szCs w:val="24"/>
        </w:rPr>
        <w:t xml:space="preserve"> </w:t>
      </w:r>
      <w:r w:rsidR="00A213F6">
        <w:rPr>
          <w:rFonts w:ascii="Times New Roman" w:hAnsi="Times New Roman" w:cs="Times New Roman"/>
          <w:sz w:val="24"/>
          <w:szCs w:val="24"/>
        </w:rPr>
        <w:t xml:space="preserve">noted </w:t>
      </w:r>
      <w:r w:rsidR="00B35851">
        <w:rPr>
          <w:rFonts w:ascii="Times New Roman" w:hAnsi="Times New Roman" w:cs="Times New Roman"/>
          <w:sz w:val="24"/>
          <w:szCs w:val="24"/>
        </w:rPr>
        <w:t xml:space="preserve">that a </w:t>
      </w:r>
      <w:r w:rsidR="00B35851" w:rsidRPr="00AF55A3">
        <w:rPr>
          <w:rFonts w:ascii="Times New Roman" w:hAnsi="Times New Roman" w:cs="Times New Roman"/>
          <w:sz w:val="24"/>
          <w:szCs w:val="24"/>
        </w:rPr>
        <w:t>century-long “narra</w:t>
      </w:r>
      <w:r w:rsidR="00B35851">
        <w:rPr>
          <w:rFonts w:ascii="Times New Roman" w:hAnsi="Times New Roman" w:cs="Times New Roman"/>
          <w:sz w:val="24"/>
          <w:szCs w:val="24"/>
        </w:rPr>
        <w:t>tive of decline</w:t>
      </w:r>
      <w:r w:rsidR="00B35851" w:rsidRPr="00AF55A3">
        <w:rPr>
          <w:rFonts w:ascii="Times New Roman" w:hAnsi="Times New Roman" w:cs="Times New Roman"/>
          <w:sz w:val="24"/>
          <w:szCs w:val="24"/>
        </w:rPr>
        <w:t>”</w:t>
      </w:r>
      <w:r w:rsidR="00B35851">
        <w:rPr>
          <w:rFonts w:ascii="Times New Roman" w:hAnsi="Times New Roman" w:cs="Times New Roman"/>
          <w:sz w:val="24"/>
          <w:szCs w:val="24"/>
        </w:rPr>
        <w:t xml:space="preserve"> had emerged in the literature</w:t>
      </w:r>
      <w:r w:rsidR="000F1FA3">
        <w:rPr>
          <w:rFonts w:ascii="Times New Roman" w:hAnsi="Times New Roman" w:cs="Times New Roman"/>
          <w:sz w:val="24"/>
          <w:szCs w:val="24"/>
        </w:rPr>
        <w:t>,</w:t>
      </w:r>
      <w:r w:rsidR="00B35851">
        <w:rPr>
          <w:rFonts w:ascii="Times New Roman" w:hAnsi="Times New Roman" w:cs="Times New Roman"/>
          <w:sz w:val="24"/>
          <w:szCs w:val="24"/>
        </w:rPr>
        <w:t xml:space="preserve"> relying on </w:t>
      </w:r>
      <w:r w:rsidRPr="00AF55A3">
        <w:rPr>
          <w:rFonts w:ascii="Times New Roman" w:hAnsi="Times New Roman" w:cs="Times New Roman"/>
          <w:sz w:val="24"/>
          <w:szCs w:val="24"/>
        </w:rPr>
        <w:t>Breneman, Rudolph, Burgess, Harper, and Jordan</w:t>
      </w:r>
      <w:r w:rsidR="00B35851">
        <w:rPr>
          <w:rFonts w:ascii="Times New Roman" w:hAnsi="Times New Roman" w:cs="Times New Roman"/>
          <w:sz w:val="24"/>
          <w:szCs w:val="24"/>
        </w:rPr>
        <w:t xml:space="preserve">.  </w:t>
      </w:r>
      <w:r w:rsidR="000F1FA3">
        <w:rPr>
          <w:rFonts w:ascii="Times New Roman" w:hAnsi="Times New Roman" w:cs="Times New Roman"/>
          <w:sz w:val="24"/>
          <w:szCs w:val="24"/>
        </w:rPr>
        <w:t>W</w:t>
      </w:r>
      <w:r w:rsidR="005833C8">
        <w:rPr>
          <w:rFonts w:ascii="Times New Roman" w:hAnsi="Times New Roman" w:cs="Times New Roman"/>
          <w:sz w:val="24"/>
          <w:szCs w:val="24"/>
        </w:rPr>
        <w:t>hile caution</w:t>
      </w:r>
      <w:r w:rsidR="00A213F6">
        <w:rPr>
          <w:rFonts w:ascii="Times New Roman" w:hAnsi="Times New Roman" w:cs="Times New Roman"/>
          <w:sz w:val="24"/>
          <w:szCs w:val="24"/>
        </w:rPr>
        <w:t>ing that “the declension narrative may...serve to mislead,”</w:t>
      </w:r>
      <w:r w:rsidR="000F1FA3">
        <w:rPr>
          <w:rFonts w:ascii="Times New Roman" w:hAnsi="Times New Roman" w:cs="Times New Roman"/>
          <w:sz w:val="24"/>
          <w:szCs w:val="24"/>
        </w:rPr>
        <w:t xml:space="preserve"> Oakley </w:t>
      </w:r>
      <w:r w:rsidR="005833C8">
        <w:rPr>
          <w:rFonts w:ascii="Times New Roman" w:hAnsi="Times New Roman" w:cs="Times New Roman"/>
          <w:sz w:val="24"/>
          <w:szCs w:val="24"/>
        </w:rPr>
        <w:t>observed</w:t>
      </w:r>
      <w:r w:rsidR="000F1FA3">
        <w:rPr>
          <w:rFonts w:ascii="Times New Roman" w:hAnsi="Times New Roman" w:cs="Times New Roman"/>
          <w:sz w:val="24"/>
          <w:szCs w:val="24"/>
        </w:rPr>
        <w:t xml:space="preserve">, </w:t>
      </w:r>
      <w:r w:rsidRPr="00AF55A3">
        <w:rPr>
          <w:rFonts w:ascii="Times New Roman" w:hAnsi="Times New Roman" w:cs="Times New Roman"/>
          <w:sz w:val="24"/>
          <w:szCs w:val="24"/>
        </w:rPr>
        <w:t>“So far as numbers go, the downward trajectory [of liberal arts colleges] would indeed appear to be unquestionable.</w:t>
      </w:r>
      <w:r w:rsidR="005A1478">
        <w:rPr>
          <w:rFonts w:ascii="Times New Roman" w:hAnsi="Times New Roman" w:cs="Times New Roman"/>
          <w:sz w:val="24"/>
          <w:szCs w:val="24"/>
        </w:rPr>
        <w:t>”</w:t>
      </w:r>
      <w:r w:rsidRPr="00AF55A3">
        <w:rPr>
          <w:rStyle w:val="FootnoteReference"/>
          <w:rFonts w:cs="Times New Roman"/>
          <w:sz w:val="24"/>
          <w:szCs w:val="24"/>
        </w:rPr>
        <w:footnoteReference w:id="11"/>
      </w:r>
      <w:r w:rsidR="00B74261">
        <w:rPr>
          <w:rFonts w:ascii="Times New Roman" w:hAnsi="Times New Roman" w:cs="Times New Roman"/>
          <w:sz w:val="24"/>
          <w:szCs w:val="24"/>
        </w:rPr>
        <w:t xml:space="preserve">  </w:t>
      </w:r>
      <w:r w:rsidRPr="00AF55A3">
        <w:rPr>
          <w:rFonts w:ascii="Times New Roman" w:hAnsi="Times New Roman" w:cs="Times New Roman"/>
          <w:sz w:val="24"/>
          <w:szCs w:val="24"/>
        </w:rPr>
        <w:t>In 2011Victor Ferrall, president emeritus of Beloit College, published a major study with Harvard University Press that drew on Breneman extensively.  Ferrall concluded that private liberal arts colleges are  “at the brink” of closing or capitulating to professional studies, save for the fifty or so that are richly endowed.</w:t>
      </w:r>
      <w:r w:rsidRPr="00AF55A3">
        <w:rPr>
          <w:rStyle w:val="FootnoteReference"/>
          <w:rFonts w:cs="Times New Roman"/>
          <w:sz w:val="24"/>
          <w:szCs w:val="24"/>
        </w:rPr>
        <w:footnoteReference w:id="12"/>
      </w:r>
      <w:r w:rsidRPr="00AF55A3">
        <w:rPr>
          <w:rFonts w:ascii="Times New Roman" w:hAnsi="Times New Roman" w:cs="Times New Roman"/>
          <w:sz w:val="24"/>
          <w:szCs w:val="24"/>
        </w:rPr>
        <w:t xml:space="preserve">  Finally, in 2012, a study published by the Association of American Colleges and Universities replicated Breneman’s study, and concluded that out of Breneman’s 206, merely 130 “true liberal arts colleges” remain today.</w:t>
      </w:r>
      <w:r w:rsidRPr="00AF55A3">
        <w:rPr>
          <w:rStyle w:val="FootnoteReference"/>
          <w:rFonts w:cs="Times New Roman"/>
          <w:sz w:val="24"/>
          <w:szCs w:val="24"/>
        </w:rPr>
        <w:footnoteReference w:id="13"/>
      </w:r>
    </w:p>
    <w:p w:rsidR="00D339D0" w:rsidRPr="00AF55A3" w:rsidRDefault="00D339D0" w:rsidP="00AF1BFD">
      <w:pPr>
        <w:spacing w:line="480" w:lineRule="auto"/>
        <w:jc w:val="left"/>
        <w:rPr>
          <w:rFonts w:ascii="Times New Roman" w:hAnsi="Times New Roman" w:cs="Times New Roman"/>
          <w:sz w:val="24"/>
          <w:szCs w:val="24"/>
        </w:rPr>
      </w:pPr>
      <w:r w:rsidRPr="00AF55A3">
        <w:rPr>
          <w:rFonts w:ascii="Times New Roman" w:hAnsi="Times New Roman" w:cs="Times New Roman"/>
          <w:sz w:val="24"/>
          <w:szCs w:val="24"/>
        </w:rPr>
        <w:tab/>
        <w:t>Culminating in this disma</w:t>
      </w:r>
      <w:r w:rsidR="009051B6">
        <w:rPr>
          <w:rFonts w:ascii="Times New Roman" w:hAnsi="Times New Roman" w:cs="Times New Roman"/>
          <w:sz w:val="24"/>
          <w:szCs w:val="24"/>
        </w:rPr>
        <w:t>l</w:t>
      </w:r>
      <w:r w:rsidRPr="00AF55A3">
        <w:rPr>
          <w:rFonts w:ascii="Times New Roman" w:hAnsi="Times New Roman" w:cs="Times New Roman"/>
          <w:sz w:val="24"/>
          <w:szCs w:val="24"/>
        </w:rPr>
        <w:t xml:space="preserve"> conclusion, the declension narrative now constitutes a premise in virtually any discussion of the relations between the liberal arts college and the research university.  Given this influence, the documents, the data, and the reasoning of the declension narrative deserve careful scrutiny, which yields some surprising conclusions.</w:t>
      </w:r>
    </w:p>
    <w:p w:rsidR="00B74261" w:rsidRDefault="00B74261">
      <w:pPr>
        <w:rPr>
          <w:rFonts w:ascii="Times New Roman" w:hAnsi="Times New Roman" w:cs="Times New Roman"/>
          <w:sz w:val="24"/>
          <w:szCs w:val="24"/>
        </w:rPr>
      </w:pPr>
    </w:p>
    <w:p w:rsidR="00A8089D" w:rsidRDefault="00A8089D">
      <w:pPr>
        <w:rPr>
          <w:rFonts w:ascii="Times New Roman" w:hAnsi="Times New Roman" w:cs="Times New Roman"/>
          <w:sz w:val="24"/>
          <w:szCs w:val="24"/>
        </w:rPr>
      </w:pPr>
      <w:r>
        <w:rPr>
          <w:rFonts w:ascii="Times New Roman" w:hAnsi="Times New Roman" w:cs="Times New Roman"/>
          <w:sz w:val="24"/>
          <w:szCs w:val="24"/>
        </w:rPr>
        <w:br w:type="page"/>
      </w:r>
    </w:p>
    <w:p w:rsidR="00A8089D" w:rsidRDefault="00A8089D" w:rsidP="00AF1BFD">
      <w:pPr>
        <w:spacing w:line="480" w:lineRule="auto"/>
        <w:jc w:val="center"/>
        <w:rPr>
          <w:rFonts w:ascii="Times New Roman" w:hAnsi="Times New Roman" w:cs="Times New Roman"/>
          <w:sz w:val="24"/>
          <w:szCs w:val="24"/>
        </w:rPr>
      </w:pPr>
    </w:p>
    <w:p w:rsidR="00D339D0" w:rsidRPr="00AF55A3" w:rsidRDefault="00D339D0" w:rsidP="00AF1BFD">
      <w:pPr>
        <w:spacing w:line="480" w:lineRule="auto"/>
        <w:jc w:val="center"/>
        <w:rPr>
          <w:rFonts w:ascii="Times New Roman" w:hAnsi="Times New Roman" w:cs="Times New Roman"/>
          <w:sz w:val="24"/>
          <w:szCs w:val="24"/>
        </w:rPr>
      </w:pPr>
      <w:r w:rsidRPr="00AF55A3">
        <w:rPr>
          <w:rFonts w:ascii="Times New Roman" w:hAnsi="Times New Roman" w:cs="Times New Roman"/>
          <w:sz w:val="24"/>
          <w:szCs w:val="24"/>
        </w:rPr>
        <w:t>I</w:t>
      </w:r>
    </w:p>
    <w:p w:rsidR="00D339D0" w:rsidRPr="00AF55A3" w:rsidRDefault="00D339D0" w:rsidP="00AF1BFD">
      <w:pPr>
        <w:spacing w:line="480" w:lineRule="auto"/>
        <w:ind w:left="720" w:hanging="720"/>
        <w:jc w:val="left"/>
        <w:rPr>
          <w:rFonts w:ascii="Times New Roman" w:hAnsi="Times New Roman" w:cs="Times New Roman"/>
          <w:sz w:val="24"/>
          <w:szCs w:val="24"/>
        </w:rPr>
      </w:pPr>
    </w:p>
    <w:p w:rsidR="00D339D0" w:rsidRDefault="00D339D0" w:rsidP="00AF1BFD">
      <w:pPr>
        <w:spacing w:line="480" w:lineRule="auto"/>
        <w:jc w:val="left"/>
        <w:rPr>
          <w:rFonts w:ascii="Times New Roman" w:hAnsi="Times New Roman" w:cs="Times New Roman"/>
          <w:sz w:val="24"/>
          <w:szCs w:val="24"/>
        </w:rPr>
      </w:pPr>
      <w:r w:rsidRPr="00AF55A3">
        <w:rPr>
          <w:rFonts w:ascii="Times New Roman" w:hAnsi="Times New Roman" w:cs="Times New Roman"/>
          <w:sz w:val="24"/>
          <w:szCs w:val="24"/>
        </w:rPr>
        <w:t xml:space="preserve">The 1884 view of Burgess that colleges are “largely a waste of capital” and “a waste of time” certainly reflected his own academic background.  After </w:t>
      </w:r>
      <w:r w:rsidRPr="00AF55A3">
        <w:rPr>
          <w:rFonts w:ascii="Times New Roman" w:hAnsi="Times New Roman" w:cs="Times New Roman"/>
          <w:bCs/>
          <w:sz w:val="24"/>
          <w:szCs w:val="24"/>
        </w:rPr>
        <w:t xml:space="preserve">graduating from Amherst College in 1867, he studied for several years at German universities </w:t>
      </w:r>
      <w:r w:rsidRPr="00AF55A3">
        <w:rPr>
          <w:rFonts w:ascii="Times New Roman" w:hAnsi="Times New Roman" w:cs="Times New Roman"/>
          <w:sz w:val="24"/>
          <w:szCs w:val="24"/>
        </w:rPr>
        <w:t>and embraced their rigorous methods of research and scholarship. Upon his return to the United States, Burgess tried unsuccessfully to persuade Amherst to adopt those methods</w:t>
      </w:r>
      <w:r w:rsidR="00B74261">
        <w:rPr>
          <w:rFonts w:ascii="Times New Roman" w:hAnsi="Times New Roman" w:cs="Times New Roman"/>
          <w:sz w:val="24"/>
          <w:szCs w:val="24"/>
        </w:rPr>
        <w:t xml:space="preserve">, and then </w:t>
      </w:r>
      <w:r w:rsidRPr="00AF55A3">
        <w:rPr>
          <w:rFonts w:ascii="Times New Roman" w:hAnsi="Times New Roman" w:cs="Times New Roman"/>
          <w:sz w:val="24"/>
          <w:szCs w:val="24"/>
        </w:rPr>
        <w:t>moved in 1876 to Columbia College in New York City, where he subsequently championed the German methods and founded the first academic journal and the first PhD program in Political Science.</w:t>
      </w:r>
      <w:r w:rsidRPr="00AF55A3">
        <w:rPr>
          <w:rStyle w:val="FootnoteReference"/>
          <w:rFonts w:cs="Times New Roman"/>
          <w:sz w:val="24"/>
          <w:szCs w:val="24"/>
        </w:rPr>
        <w:footnoteReference w:id="14"/>
      </w:r>
      <w:r w:rsidRPr="00AF55A3">
        <w:rPr>
          <w:rFonts w:ascii="Times New Roman" w:hAnsi="Times New Roman" w:cs="Times New Roman"/>
          <w:sz w:val="24"/>
          <w:szCs w:val="24"/>
        </w:rPr>
        <w:t xml:space="preserve"> Thus, Burgess pioneered the research university, which was still new territory in the United States.</w:t>
      </w:r>
    </w:p>
    <w:p w:rsidR="00D339D0" w:rsidRPr="00AF55A3" w:rsidRDefault="00A8089D" w:rsidP="00AF1BFD">
      <w:pPr>
        <w:spacing w:line="480" w:lineRule="auto"/>
        <w:jc w:val="left"/>
        <w:rPr>
          <w:rFonts w:ascii="Times New Roman" w:hAnsi="Times New Roman" w:cs="Times New Roman"/>
          <w:sz w:val="24"/>
          <w:szCs w:val="24"/>
        </w:rPr>
      </w:pPr>
      <w:r>
        <w:rPr>
          <w:rFonts w:ascii="Times New Roman" w:hAnsi="Times New Roman" w:cs="Times New Roman"/>
          <w:sz w:val="24"/>
          <w:szCs w:val="24"/>
        </w:rPr>
        <w:tab/>
        <w:t>At his inauguration in 1869, Harvard president Charles W. Eliot declared that no true university yet existed in the United States.</w:t>
      </w:r>
      <w:r w:rsidR="0002511F">
        <w:rPr>
          <w:rFonts w:ascii="Times New Roman" w:hAnsi="Times New Roman" w:cs="Times New Roman"/>
          <w:sz w:val="24"/>
          <w:szCs w:val="24"/>
        </w:rPr>
        <w:t xml:space="preserve">  </w:t>
      </w:r>
      <w:r w:rsidR="00BF76DD">
        <w:rPr>
          <w:rFonts w:ascii="Times New Roman" w:hAnsi="Times New Roman" w:cs="Times New Roman"/>
          <w:sz w:val="24"/>
          <w:szCs w:val="24"/>
        </w:rPr>
        <w:t xml:space="preserve">Soon after its opening in 1876 as an all-graduate institution, </w:t>
      </w:r>
      <w:r w:rsidR="00D339D0" w:rsidRPr="00AF55A3">
        <w:rPr>
          <w:rFonts w:ascii="Times New Roman" w:hAnsi="Times New Roman" w:cs="Times New Roman"/>
          <w:sz w:val="24"/>
          <w:szCs w:val="24"/>
        </w:rPr>
        <w:t xml:space="preserve">Johns Hopkins </w:t>
      </w:r>
      <w:r w:rsidR="00BF76DD">
        <w:rPr>
          <w:rFonts w:ascii="Times New Roman" w:hAnsi="Times New Roman" w:cs="Times New Roman"/>
          <w:sz w:val="24"/>
          <w:szCs w:val="24"/>
        </w:rPr>
        <w:t xml:space="preserve">gained recognition as the first American university, and by 1884 </w:t>
      </w:r>
      <w:r w:rsidR="00D339D0" w:rsidRPr="00AF55A3">
        <w:rPr>
          <w:rFonts w:ascii="Times New Roman" w:hAnsi="Times New Roman" w:cs="Times New Roman"/>
          <w:sz w:val="24"/>
          <w:szCs w:val="24"/>
        </w:rPr>
        <w:t xml:space="preserve">only Cornell, Harvard, Michigan, and, perhaps, Wisconsin had really </w:t>
      </w:r>
      <w:r w:rsidR="00530769" w:rsidRPr="00AF55A3">
        <w:rPr>
          <w:rFonts w:ascii="Times New Roman" w:hAnsi="Times New Roman" w:cs="Times New Roman"/>
          <w:sz w:val="24"/>
          <w:szCs w:val="24"/>
        </w:rPr>
        <w:t>adopted</w:t>
      </w:r>
      <w:r w:rsidR="00D339D0" w:rsidRPr="00AF55A3">
        <w:rPr>
          <w:rFonts w:ascii="Times New Roman" w:hAnsi="Times New Roman" w:cs="Times New Roman"/>
          <w:sz w:val="24"/>
          <w:szCs w:val="24"/>
        </w:rPr>
        <w:t xml:space="preserve"> university aspirations.  Columbia was making strides, but was still dominated by a collegiate ethos, as were Yale and Princeton. Thus, only a handful of true universities </w:t>
      </w:r>
      <w:r w:rsidR="00A04772">
        <w:rPr>
          <w:rFonts w:ascii="Times New Roman" w:hAnsi="Times New Roman" w:cs="Times New Roman"/>
          <w:sz w:val="24"/>
          <w:szCs w:val="24"/>
        </w:rPr>
        <w:t xml:space="preserve">existed </w:t>
      </w:r>
      <w:r w:rsidR="00D339D0" w:rsidRPr="00AF55A3">
        <w:rPr>
          <w:rFonts w:ascii="Times New Roman" w:hAnsi="Times New Roman" w:cs="Times New Roman"/>
          <w:sz w:val="24"/>
          <w:szCs w:val="24"/>
        </w:rPr>
        <w:t>in the country, and the liberal arts college remained the institutional norm in American higher education, notwithstanding the founding of state and land-grant universities.</w:t>
      </w:r>
      <w:r w:rsidR="00D339D0" w:rsidRPr="00AF55A3">
        <w:rPr>
          <w:rStyle w:val="FootnoteReference"/>
          <w:rFonts w:cs="Times New Roman"/>
          <w:sz w:val="24"/>
          <w:szCs w:val="24"/>
        </w:rPr>
        <w:footnoteReference w:id="15"/>
      </w:r>
      <w:r w:rsidR="00D339D0" w:rsidRPr="00AF55A3">
        <w:rPr>
          <w:rFonts w:ascii="Times New Roman" w:hAnsi="Times New Roman" w:cs="Times New Roman"/>
          <w:sz w:val="24"/>
          <w:szCs w:val="24"/>
        </w:rPr>
        <w:t xml:space="preserve">  </w:t>
      </w:r>
      <w:r w:rsidR="00530769" w:rsidRPr="00AF55A3">
        <w:rPr>
          <w:rFonts w:ascii="Times New Roman" w:hAnsi="Times New Roman" w:cs="Times New Roman"/>
          <w:sz w:val="24"/>
          <w:szCs w:val="24"/>
        </w:rPr>
        <w:t xml:space="preserve">Recognizing this, </w:t>
      </w:r>
      <w:r w:rsidR="00D339D0" w:rsidRPr="00AF55A3">
        <w:rPr>
          <w:rFonts w:ascii="Times New Roman" w:hAnsi="Times New Roman" w:cs="Times New Roman"/>
          <w:sz w:val="24"/>
          <w:szCs w:val="24"/>
        </w:rPr>
        <w:t>Burgess titled his treatise</w:t>
      </w:r>
      <w:r w:rsidR="00BF76DD">
        <w:rPr>
          <w:rFonts w:ascii="Times New Roman" w:hAnsi="Times New Roman" w:cs="Times New Roman"/>
          <w:sz w:val="24"/>
          <w:szCs w:val="24"/>
        </w:rPr>
        <w:t xml:space="preserve"> prospectively</w:t>
      </w:r>
      <w:r w:rsidR="00D339D0" w:rsidRPr="00AF55A3">
        <w:rPr>
          <w:rFonts w:ascii="Times New Roman" w:hAnsi="Times New Roman" w:cs="Times New Roman"/>
          <w:sz w:val="24"/>
          <w:szCs w:val="24"/>
        </w:rPr>
        <w:t xml:space="preserve"> </w:t>
      </w:r>
      <w:r w:rsidR="00D339D0" w:rsidRPr="00AF55A3">
        <w:rPr>
          <w:rFonts w:ascii="Times New Roman" w:hAnsi="Times New Roman" w:cs="Times New Roman"/>
          <w:i/>
          <w:sz w:val="24"/>
          <w:szCs w:val="24"/>
        </w:rPr>
        <w:t>The American University: When Shall It Be? Where Shall It Be? What Shall It Be?</w:t>
      </w:r>
      <w:r w:rsidR="00D339D0" w:rsidRPr="00AF55A3">
        <w:rPr>
          <w:rFonts w:ascii="Times New Roman" w:hAnsi="Times New Roman" w:cs="Times New Roman"/>
          <w:sz w:val="24"/>
          <w:szCs w:val="24"/>
        </w:rPr>
        <w:t xml:space="preserve"> </w:t>
      </w:r>
      <w:r w:rsidR="00D339D0" w:rsidRPr="00AF55A3">
        <w:rPr>
          <w:rFonts w:ascii="Times New Roman" w:hAnsi="Times New Roman" w:cs="Times New Roman"/>
          <w:sz w:val="24"/>
          <w:szCs w:val="24"/>
        </w:rPr>
        <w:lastRenderedPageBreak/>
        <w:t>and stated that Boston was the only city in the nation with the means and disposition to support a university.</w:t>
      </w:r>
      <w:r w:rsidR="00D339D0" w:rsidRPr="00AF55A3">
        <w:rPr>
          <w:rStyle w:val="FootnoteReference"/>
          <w:rFonts w:cs="Times New Roman"/>
          <w:sz w:val="24"/>
          <w:szCs w:val="24"/>
        </w:rPr>
        <w:footnoteReference w:id="16"/>
      </w:r>
      <w:r w:rsidR="00D339D0" w:rsidRPr="00AF55A3">
        <w:rPr>
          <w:rFonts w:ascii="Times New Roman" w:hAnsi="Times New Roman" w:cs="Times New Roman"/>
          <w:sz w:val="24"/>
          <w:szCs w:val="24"/>
        </w:rPr>
        <w:t xml:space="preserve">  Consequently, Burgess’s assessment is not so much a self-ass</w:t>
      </w:r>
      <w:r w:rsidR="00C443FC">
        <w:rPr>
          <w:rFonts w:ascii="Times New Roman" w:hAnsi="Times New Roman" w:cs="Times New Roman"/>
          <w:sz w:val="24"/>
          <w:szCs w:val="24"/>
        </w:rPr>
        <w:t>ured proclamation, as a zealous</w:t>
      </w:r>
      <w:r w:rsidR="00D339D0" w:rsidRPr="00AF55A3">
        <w:rPr>
          <w:rFonts w:ascii="Times New Roman" w:hAnsi="Times New Roman" w:cs="Times New Roman"/>
          <w:sz w:val="24"/>
          <w:szCs w:val="24"/>
        </w:rPr>
        <w:t xml:space="preserve"> prophecy tinged</w:t>
      </w:r>
      <w:r w:rsidR="00C443FC">
        <w:rPr>
          <w:rFonts w:ascii="Times New Roman" w:hAnsi="Times New Roman" w:cs="Times New Roman"/>
          <w:sz w:val="24"/>
          <w:szCs w:val="24"/>
        </w:rPr>
        <w:t>, perha</w:t>
      </w:r>
      <w:r w:rsidR="00530769" w:rsidRPr="00AF55A3">
        <w:rPr>
          <w:rFonts w:ascii="Times New Roman" w:hAnsi="Times New Roman" w:cs="Times New Roman"/>
          <w:sz w:val="24"/>
          <w:szCs w:val="24"/>
        </w:rPr>
        <w:t>ps,</w:t>
      </w:r>
      <w:r w:rsidR="00D339D0" w:rsidRPr="00AF55A3">
        <w:rPr>
          <w:rFonts w:ascii="Times New Roman" w:hAnsi="Times New Roman" w:cs="Times New Roman"/>
          <w:sz w:val="24"/>
          <w:szCs w:val="24"/>
        </w:rPr>
        <w:t xml:space="preserve"> with some disappointment that his alma mater had not responded to his entreaties.</w:t>
      </w:r>
    </w:p>
    <w:p w:rsidR="00D339D0" w:rsidRPr="00AF55A3" w:rsidRDefault="00D339D0" w:rsidP="00AF1BFD">
      <w:pPr>
        <w:spacing w:line="480" w:lineRule="auto"/>
        <w:jc w:val="left"/>
        <w:rPr>
          <w:rFonts w:ascii="Times New Roman" w:hAnsi="Times New Roman" w:cs="Times New Roman"/>
          <w:sz w:val="24"/>
          <w:szCs w:val="24"/>
        </w:rPr>
      </w:pPr>
      <w:r w:rsidRPr="00AF55A3">
        <w:rPr>
          <w:rFonts w:ascii="Times New Roman" w:hAnsi="Times New Roman" w:cs="Times New Roman"/>
          <w:sz w:val="24"/>
          <w:szCs w:val="24"/>
        </w:rPr>
        <w:tab/>
      </w:r>
      <w:r w:rsidR="00494D79">
        <w:rPr>
          <w:rFonts w:ascii="Times New Roman" w:hAnsi="Times New Roman" w:cs="Times New Roman"/>
          <w:sz w:val="24"/>
          <w:szCs w:val="24"/>
        </w:rPr>
        <w:t>T</w:t>
      </w:r>
      <w:r w:rsidRPr="00AF55A3">
        <w:rPr>
          <w:rFonts w:ascii="Times New Roman" w:hAnsi="Times New Roman" w:cs="Times New Roman"/>
          <w:sz w:val="24"/>
          <w:szCs w:val="24"/>
        </w:rPr>
        <w:t>he situation had changed</w:t>
      </w:r>
      <w:r w:rsidR="00494D79">
        <w:rPr>
          <w:rFonts w:ascii="Times New Roman" w:hAnsi="Times New Roman" w:cs="Times New Roman"/>
          <w:sz w:val="24"/>
          <w:szCs w:val="24"/>
        </w:rPr>
        <w:t xml:space="preserve"> dramatically by </w:t>
      </w:r>
      <w:r w:rsidRPr="00AF55A3">
        <w:rPr>
          <w:rFonts w:ascii="Times New Roman" w:hAnsi="Times New Roman" w:cs="Times New Roman"/>
          <w:sz w:val="24"/>
          <w:szCs w:val="24"/>
        </w:rPr>
        <w:t>1900</w:t>
      </w:r>
      <w:r w:rsidR="00494D79">
        <w:rPr>
          <w:rFonts w:ascii="Times New Roman" w:hAnsi="Times New Roman" w:cs="Times New Roman"/>
          <w:sz w:val="24"/>
          <w:szCs w:val="24"/>
        </w:rPr>
        <w:t>, when</w:t>
      </w:r>
      <w:r w:rsidRPr="00AF55A3">
        <w:rPr>
          <w:rFonts w:ascii="Times New Roman" w:hAnsi="Times New Roman" w:cs="Times New Roman"/>
          <w:sz w:val="24"/>
          <w:szCs w:val="24"/>
        </w:rPr>
        <w:t xml:space="preserve"> fifteen research universities formed the Association of American Universities</w:t>
      </w:r>
      <w:r w:rsidR="00494D79">
        <w:rPr>
          <w:rFonts w:ascii="Times New Roman" w:hAnsi="Times New Roman" w:cs="Times New Roman"/>
          <w:sz w:val="24"/>
          <w:szCs w:val="24"/>
        </w:rPr>
        <w:t xml:space="preserve">.  Among them was </w:t>
      </w:r>
      <w:r w:rsidRPr="00AF55A3">
        <w:rPr>
          <w:rFonts w:ascii="Times New Roman" w:hAnsi="Times New Roman" w:cs="Times New Roman"/>
          <w:sz w:val="24"/>
          <w:szCs w:val="24"/>
        </w:rPr>
        <w:t>the University of Chicago, which Harper had built into a research university with the financial support of John D. Rockefeller. In July of 1900, Harper gave an address to the National Education Association entitled “The Situation of the Small College.”  Harper identified several threats to the small liberal arts colleges: the development of public high schools, which elevated academic standards from below; the emergence of many fields of specialized study, which small colleges could not sustain; the lack of financial resources to compete with universities in paying salaries for faculty or providing libraries or laboratories; and the low tuition and other subsidies of the state university.  Due to these factors, Harper predicted that only about a quarter of small colleges would survive; the rest would become academies or two-year junior colleges.</w:t>
      </w:r>
      <w:r w:rsidRPr="00AF55A3">
        <w:rPr>
          <w:rStyle w:val="FootnoteReference"/>
          <w:rFonts w:cs="Times New Roman"/>
          <w:sz w:val="24"/>
          <w:szCs w:val="24"/>
        </w:rPr>
        <w:footnoteReference w:id="17"/>
      </w:r>
    </w:p>
    <w:p w:rsidR="00D339D0" w:rsidRPr="00AF55A3" w:rsidRDefault="00D339D0" w:rsidP="00AF1BFD">
      <w:pPr>
        <w:spacing w:line="480" w:lineRule="auto"/>
        <w:jc w:val="left"/>
        <w:rPr>
          <w:rFonts w:ascii="Times New Roman" w:hAnsi="Times New Roman" w:cs="Times New Roman"/>
          <w:sz w:val="24"/>
          <w:szCs w:val="24"/>
        </w:rPr>
      </w:pPr>
      <w:r w:rsidRPr="00AF55A3">
        <w:rPr>
          <w:rFonts w:ascii="Times New Roman" w:hAnsi="Times New Roman" w:cs="Times New Roman"/>
          <w:sz w:val="24"/>
          <w:szCs w:val="24"/>
        </w:rPr>
        <w:tab/>
        <w:t xml:space="preserve">In 1903 President Jordan of Stanford held out even less hope in a published essay. The most </w:t>
      </w:r>
      <w:r w:rsidR="009051B6">
        <w:rPr>
          <w:rFonts w:ascii="Times New Roman" w:hAnsi="Times New Roman" w:cs="Times New Roman"/>
          <w:sz w:val="24"/>
          <w:szCs w:val="24"/>
        </w:rPr>
        <w:t xml:space="preserve">often </w:t>
      </w:r>
      <w:r w:rsidRPr="00AF55A3">
        <w:rPr>
          <w:rFonts w:ascii="Times New Roman" w:hAnsi="Times New Roman" w:cs="Times New Roman"/>
          <w:sz w:val="24"/>
          <w:szCs w:val="24"/>
        </w:rPr>
        <w:t xml:space="preserve">quoted lines bear repeating: “the college is a temporary feature of American educational history.  The college is a small university, antiquated, belated, arrested, starved, as the case may be, but with university aspirations to be realized in such degree as it can...As time goes on, the college will disappear in fact, if not in name.  The best and richest colleges will </w:t>
      </w:r>
      <w:r w:rsidRPr="00AF55A3">
        <w:rPr>
          <w:rFonts w:ascii="Times New Roman" w:hAnsi="Times New Roman" w:cs="Times New Roman"/>
          <w:sz w:val="24"/>
          <w:szCs w:val="24"/>
        </w:rPr>
        <w:lastRenderedPageBreak/>
        <w:t>become universities, following the example of Harvard, Yale, and Princeton.  The others will return to their places as academies.”</w:t>
      </w:r>
      <w:r w:rsidRPr="00AF55A3">
        <w:rPr>
          <w:rStyle w:val="FootnoteReference"/>
          <w:rFonts w:cs="Times New Roman"/>
          <w:sz w:val="24"/>
          <w:szCs w:val="24"/>
        </w:rPr>
        <w:footnoteReference w:id="18"/>
      </w:r>
    </w:p>
    <w:p w:rsidR="00D339D0" w:rsidRPr="00AF55A3" w:rsidRDefault="00D339D0" w:rsidP="00AF1BFD">
      <w:pPr>
        <w:spacing w:line="480" w:lineRule="auto"/>
        <w:jc w:val="left"/>
        <w:rPr>
          <w:rFonts w:ascii="Times New Roman" w:hAnsi="Times New Roman" w:cs="Times New Roman"/>
          <w:sz w:val="24"/>
          <w:szCs w:val="24"/>
          <w:vertAlign w:val="superscript"/>
        </w:rPr>
      </w:pPr>
      <w:r w:rsidRPr="00AF55A3">
        <w:rPr>
          <w:rFonts w:ascii="Times New Roman" w:hAnsi="Times New Roman" w:cs="Times New Roman"/>
          <w:sz w:val="24"/>
          <w:szCs w:val="24"/>
        </w:rPr>
        <w:tab/>
        <w:t xml:space="preserve">Jordan’s words certainly suggest that the research university was driving the liberal arts college to extinction, and both Harper and Jordan did subscribe to </w:t>
      </w:r>
      <w:r w:rsidR="009051B6">
        <w:rPr>
          <w:rFonts w:ascii="Times New Roman" w:hAnsi="Times New Roman" w:cs="Times New Roman"/>
          <w:sz w:val="24"/>
          <w:szCs w:val="24"/>
        </w:rPr>
        <w:t xml:space="preserve">a kind of </w:t>
      </w:r>
      <w:r w:rsidRPr="00AF55A3">
        <w:rPr>
          <w:rFonts w:ascii="Times New Roman" w:hAnsi="Times New Roman" w:cs="Times New Roman"/>
          <w:sz w:val="24"/>
          <w:szCs w:val="24"/>
        </w:rPr>
        <w:t xml:space="preserve">institutional Darwinism.  </w:t>
      </w:r>
      <w:r w:rsidR="009051B6">
        <w:rPr>
          <w:rFonts w:ascii="Times New Roman" w:hAnsi="Times New Roman" w:cs="Times New Roman"/>
          <w:sz w:val="24"/>
          <w:szCs w:val="24"/>
        </w:rPr>
        <w:t xml:space="preserve">As </w:t>
      </w:r>
      <w:r w:rsidRPr="00AF55A3">
        <w:rPr>
          <w:rFonts w:ascii="Times New Roman" w:hAnsi="Times New Roman" w:cs="Times New Roman"/>
          <w:sz w:val="24"/>
          <w:szCs w:val="24"/>
        </w:rPr>
        <w:t xml:space="preserve">Harper </w:t>
      </w:r>
      <w:r w:rsidR="009051B6">
        <w:rPr>
          <w:rFonts w:ascii="Times New Roman" w:hAnsi="Times New Roman" w:cs="Times New Roman"/>
          <w:sz w:val="24"/>
          <w:szCs w:val="24"/>
        </w:rPr>
        <w:t xml:space="preserve">wrote, </w:t>
      </w:r>
      <w:r w:rsidRPr="00AF55A3">
        <w:rPr>
          <w:rFonts w:ascii="Times New Roman" w:hAnsi="Times New Roman" w:cs="Times New Roman"/>
          <w:sz w:val="24"/>
          <w:szCs w:val="24"/>
        </w:rPr>
        <w:t>“The laws of institutional life are very similar to those of individual life, and in the development of institutions we may confidently believe in “the survival of the fittest.....The institution which has survived the trials and tribulations of early years, and...justified its existence,...deserves to live; ...In this struggle for existence,...some of the colleges...will be compelled to limit their activity to the... preparatory, field.”</w:t>
      </w:r>
      <w:r w:rsidRPr="00AF55A3">
        <w:rPr>
          <w:rStyle w:val="FootnoteReference"/>
          <w:rFonts w:cs="Times New Roman"/>
          <w:sz w:val="24"/>
          <w:szCs w:val="24"/>
        </w:rPr>
        <w:footnoteReference w:id="19"/>
      </w:r>
      <w:r w:rsidRPr="00AF55A3">
        <w:rPr>
          <w:rStyle w:val="FootnoteReference"/>
          <w:rFonts w:cs="Times New Roman"/>
          <w:sz w:val="24"/>
          <w:szCs w:val="24"/>
        </w:rPr>
        <w:t xml:space="preserve">  </w:t>
      </w:r>
      <w:r w:rsidRPr="00AF55A3">
        <w:rPr>
          <w:rFonts w:ascii="Times New Roman" w:hAnsi="Times New Roman" w:cs="Times New Roman"/>
          <w:sz w:val="24"/>
          <w:szCs w:val="24"/>
        </w:rPr>
        <w:t xml:space="preserve"> According to Harper and Jordan, changes in the academic climate during the previous twenty five years had made the liberal arts college unfit, while, for the university “great things are to be expected...in the next twenty-five years.”</w:t>
      </w:r>
      <w:r w:rsidRPr="00AF55A3">
        <w:rPr>
          <w:rStyle w:val="FootnoteReference"/>
          <w:rFonts w:cs="Times New Roman"/>
          <w:sz w:val="24"/>
          <w:szCs w:val="24"/>
        </w:rPr>
        <w:footnoteReference w:id="20"/>
      </w:r>
      <w:r w:rsidRPr="00AF55A3">
        <w:rPr>
          <w:rFonts w:ascii="Times New Roman" w:hAnsi="Times New Roman" w:cs="Times New Roman"/>
          <w:sz w:val="24"/>
          <w:szCs w:val="24"/>
        </w:rPr>
        <w:t xml:space="preserve"> </w:t>
      </w:r>
    </w:p>
    <w:p w:rsidR="00D339D0" w:rsidRPr="00AF55A3" w:rsidRDefault="00D339D0" w:rsidP="00AF1BFD">
      <w:pPr>
        <w:spacing w:line="480" w:lineRule="auto"/>
        <w:jc w:val="left"/>
        <w:rPr>
          <w:rFonts w:ascii="Times New Roman" w:hAnsi="Times New Roman" w:cs="Times New Roman"/>
          <w:sz w:val="24"/>
          <w:szCs w:val="24"/>
        </w:rPr>
      </w:pPr>
      <w:r w:rsidRPr="00AF55A3">
        <w:rPr>
          <w:rFonts w:ascii="Times New Roman" w:hAnsi="Times New Roman" w:cs="Times New Roman"/>
          <w:sz w:val="24"/>
          <w:szCs w:val="24"/>
          <w:vertAlign w:val="superscript"/>
        </w:rPr>
        <w:tab/>
      </w:r>
      <w:r w:rsidRPr="00AF55A3">
        <w:rPr>
          <w:rFonts w:ascii="Times New Roman" w:hAnsi="Times New Roman" w:cs="Times New Roman"/>
          <w:sz w:val="24"/>
          <w:szCs w:val="24"/>
        </w:rPr>
        <w:t xml:space="preserve">Nevertheless, some defensiveness appeared between the lines of these </w:t>
      </w:r>
      <w:r w:rsidR="00C443FC">
        <w:rPr>
          <w:rFonts w:ascii="Times New Roman" w:hAnsi="Times New Roman" w:cs="Times New Roman"/>
          <w:sz w:val="24"/>
          <w:szCs w:val="24"/>
        </w:rPr>
        <w:t xml:space="preserve">bold </w:t>
      </w:r>
      <w:r w:rsidRPr="00AF55A3">
        <w:rPr>
          <w:rFonts w:ascii="Times New Roman" w:hAnsi="Times New Roman" w:cs="Times New Roman"/>
          <w:sz w:val="24"/>
          <w:szCs w:val="24"/>
        </w:rPr>
        <w:t>statements.  Jordan titled his address “An Apology for the University,” and began with the words: “Now and then in these days some successful businessman raises his eyes from his counter to question the American university’s right to exist.”</w:t>
      </w:r>
      <w:r w:rsidRPr="00AF55A3">
        <w:rPr>
          <w:rStyle w:val="FootnoteReference"/>
          <w:rFonts w:cs="Times New Roman"/>
          <w:sz w:val="24"/>
          <w:szCs w:val="24"/>
        </w:rPr>
        <w:t xml:space="preserve"> </w:t>
      </w:r>
      <w:r w:rsidRPr="00AF55A3">
        <w:rPr>
          <w:rStyle w:val="FootnoteReference"/>
          <w:rFonts w:cs="Times New Roman"/>
          <w:sz w:val="24"/>
          <w:szCs w:val="24"/>
        </w:rPr>
        <w:footnoteReference w:id="21"/>
      </w:r>
      <w:r w:rsidRPr="00AF55A3">
        <w:rPr>
          <w:rStyle w:val="FootnoteReference"/>
          <w:rFonts w:cs="Times New Roman"/>
          <w:sz w:val="24"/>
          <w:szCs w:val="24"/>
        </w:rPr>
        <w:t xml:space="preserve">  </w:t>
      </w:r>
      <w:r w:rsidRPr="00AF55A3">
        <w:rPr>
          <w:rFonts w:ascii="Times New Roman" w:hAnsi="Times New Roman" w:cs="Times New Roman"/>
          <w:sz w:val="24"/>
          <w:szCs w:val="24"/>
        </w:rPr>
        <w:t xml:space="preserve">Moreover, Jordan first delivered his “Apology” at the Stanford commencement of 1898, and his words recall his difficult relations with Jane Stanford, who became the university’s patron after her husband, the railroad baron, died in 1893.  Jane Stanford tightly controlled the </w:t>
      </w:r>
      <w:r w:rsidR="00A04772">
        <w:rPr>
          <w:rFonts w:ascii="Times New Roman" w:hAnsi="Times New Roman" w:cs="Times New Roman"/>
          <w:sz w:val="24"/>
          <w:szCs w:val="24"/>
        </w:rPr>
        <w:t>Jordan</w:t>
      </w:r>
      <w:r w:rsidRPr="00AF55A3">
        <w:rPr>
          <w:rFonts w:ascii="Times New Roman" w:hAnsi="Times New Roman" w:cs="Times New Roman"/>
          <w:sz w:val="24"/>
          <w:szCs w:val="24"/>
        </w:rPr>
        <w:t xml:space="preserve">’s spending and often treated the university as a low-grade </w:t>
      </w:r>
      <w:r w:rsidRPr="00AF55A3">
        <w:rPr>
          <w:rFonts w:ascii="Times New Roman" w:hAnsi="Times New Roman" w:cs="Times New Roman"/>
          <w:sz w:val="24"/>
          <w:szCs w:val="24"/>
        </w:rPr>
        <w:lastRenderedPageBreak/>
        <w:t>technical institute.</w:t>
      </w:r>
      <w:r w:rsidRPr="00AF55A3">
        <w:rPr>
          <w:rStyle w:val="FootnoteReference"/>
          <w:rFonts w:cs="Times New Roman"/>
          <w:sz w:val="24"/>
          <w:szCs w:val="24"/>
        </w:rPr>
        <w:footnoteReference w:id="22"/>
      </w:r>
      <w:r w:rsidR="00C10399">
        <w:rPr>
          <w:rFonts w:ascii="Times New Roman" w:hAnsi="Times New Roman" w:cs="Times New Roman"/>
          <w:sz w:val="24"/>
          <w:szCs w:val="24"/>
        </w:rPr>
        <w:t xml:space="preserve">  </w:t>
      </w:r>
      <w:r w:rsidRPr="00AF55A3">
        <w:rPr>
          <w:rFonts w:ascii="Times New Roman" w:hAnsi="Times New Roman" w:cs="Times New Roman"/>
          <w:sz w:val="24"/>
          <w:szCs w:val="24"/>
        </w:rPr>
        <w:t xml:space="preserve">Jordan’s “Apology” </w:t>
      </w:r>
      <w:r w:rsidR="00C10399">
        <w:rPr>
          <w:rFonts w:ascii="Times New Roman" w:hAnsi="Times New Roman" w:cs="Times New Roman"/>
          <w:sz w:val="24"/>
          <w:szCs w:val="24"/>
        </w:rPr>
        <w:t xml:space="preserve">therefore </w:t>
      </w:r>
      <w:r w:rsidRPr="00AF55A3">
        <w:rPr>
          <w:rFonts w:ascii="Times New Roman" w:hAnsi="Times New Roman" w:cs="Times New Roman"/>
          <w:sz w:val="24"/>
          <w:szCs w:val="24"/>
        </w:rPr>
        <w:t>presents a justification for university patronage, and deflects criticism that higher educ</w:t>
      </w:r>
      <w:r w:rsidR="00C443FC">
        <w:rPr>
          <w:rFonts w:ascii="Times New Roman" w:hAnsi="Times New Roman" w:cs="Times New Roman"/>
          <w:sz w:val="24"/>
          <w:szCs w:val="24"/>
        </w:rPr>
        <w:t>ation is irrelevant, arcane, or</w:t>
      </w:r>
      <w:r w:rsidRPr="00AF55A3">
        <w:rPr>
          <w:rFonts w:ascii="Times New Roman" w:hAnsi="Times New Roman" w:cs="Times New Roman"/>
          <w:sz w:val="24"/>
          <w:szCs w:val="24"/>
        </w:rPr>
        <w:t xml:space="preserve"> elitist toward the convenient target of the traditional college.  Thus, Jordan says that critics of the university actually have in mind “the starveling colleges</w:t>
      </w:r>
      <w:r w:rsidR="00494D79">
        <w:rPr>
          <w:rFonts w:ascii="Times New Roman" w:hAnsi="Times New Roman" w:cs="Times New Roman"/>
          <w:sz w:val="24"/>
          <w:szCs w:val="24"/>
        </w:rPr>
        <w:t xml:space="preserve">” of the past, </w:t>
      </w:r>
      <w:r w:rsidRPr="00AF55A3">
        <w:rPr>
          <w:rFonts w:ascii="Times New Roman" w:hAnsi="Times New Roman" w:cs="Times New Roman"/>
          <w:sz w:val="24"/>
          <w:szCs w:val="24"/>
        </w:rPr>
        <w:t>when “college education was not related to life” and “had nothing to with action,” since “the old-time...college education was...valued for the feeling of superiority which it engendered.”</w:t>
      </w:r>
      <w:r w:rsidRPr="00AF55A3">
        <w:rPr>
          <w:rStyle w:val="FootnoteReference"/>
          <w:rFonts w:cs="Times New Roman"/>
          <w:sz w:val="24"/>
          <w:szCs w:val="24"/>
        </w:rPr>
        <w:footnoteReference w:id="23"/>
      </w:r>
    </w:p>
    <w:p w:rsidR="00D339D0" w:rsidRPr="00AF55A3" w:rsidRDefault="00D339D0" w:rsidP="00AF1BFD">
      <w:pPr>
        <w:spacing w:line="480" w:lineRule="auto"/>
        <w:jc w:val="left"/>
        <w:rPr>
          <w:rFonts w:ascii="Times New Roman" w:hAnsi="Times New Roman" w:cs="Times New Roman"/>
          <w:sz w:val="24"/>
          <w:szCs w:val="24"/>
        </w:rPr>
      </w:pPr>
      <w:r w:rsidRPr="00AF55A3">
        <w:rPr>
          <w:rFonts w:ascii="Times New Roman" w:hAnsi="Times New Roman" w:cs="Times New Roman"/>
          <w:sz w:val="24"/>
          <w:szCs w:val="24"/>
        </w:rPr>
        <w:tab/>
        <w:t>Meanwhile, at the University of Chicago, Harper also had difficulties with his patron, who had a more technical and utilitarian vision of the university than did Harper.  More significantly, Rockefeller grew disgusted at Harper’s imprudent deficit spending to develop the university</w:t>
      </w:r>
      <w:r w:rsidR="00494D79">
        <w:rPr>
          <w:rFonts w:ascii="Times New Roman" w:hAnsi="Times New Roman" w:cs="Times New Roman"/>
          <w:sz w:val="24"/>
          <w:szCs w:val="24"/>
        </w:rPr>
        <w:t xml:space="preserve">, and </w:t>
      </w:r>
      <w:r w:rsidRPr="00AF55A3">
        <w:rPr>
          <w:rFonts w:ascii="Times New Roman" w:hAnsi="Times New Roman" w:cs="Times New Roman"/>
          <w:sz w:val="24"/>
          <w:szCs w:val="24"/>
        </w:rPr>
        <w:t>in 1898 decided that he would no longer meet with Harper, who was crushed by losing the cherished privilege of direct access to Rockefeller.</w:t>
      </w:r>
      <w:r w:rsidRPr="00AF55A3">
        <w:rPr>
          <w:rStyle w:val="FootnoteReference"/>
          <w:rFonts w:cs="Times New Roman"/>
          <w:sz w:val="24"/>
          <w:szCs w:val="24"/>
        </w:rPr>
        <w:t xml:space="preserve"> </w:t>
      </w:r>
      <w:r w:rsidRPr="00AF55A3">
        <w:rPr>
          <w:rStyle w:val="FootnoteReference"/>
          <w:rFonts w:cs="Times New Roman"/>
          <w:sz w:val="24"/>
          <w:szCs w:val="24"/>
        </w:rPr>
        <w:footnoteReference w:id="24"/>
      </w:r>
      <w:r w:rsidRPr="00AF55A3">
        <w:rPr>
          <w:rStyle w:val="FootnoteReference"/>
          <w:rFonts w:cs="Times New Roman"/>
          <w:sz w:val="24"/>
          <w:szCs w:val="24"/>
        </w:rPr>
        <w:t xml:space="preserve">  </w:t>
      </w:r>
      <w:r w:rsidRPr="00AF55A3">
        <w:rPr>
          <w:rFonts w:ascii="Times New Roman" w:hAnsi="Times New Roman" w:cs="Times New Roman"/>
          <w:sz w:val="24"/>
          <w:szCs w:val="24"/>
        </w:rPr>
        <w:t>By 1900 both Jordan and Harper needed to assure their skeptical or estranged patrons that the future lay with the university.  To bolster this assurance</w:t>
      </w:r>
      <w:r w:rsidR="00A04772">
        <w:rPr>
          <w:rFonts w:ascii="Times New Roman" w:hAnsi="Times New Roman" w:cs="Times New Roman"/>
          <w:sz w:val="24"/>
          <w:szCs w:val="24"/>
        </w:rPr>
        <w:t>, these two presidents invoked D</w:t>
      </w:r>
      <w:r w:rsidRPr="00AF55A3">
        <w:rPr>
          <w:rFonts w:ascii="Times New Roman" w:hAnsi="Times New Roman" w:cs="Times New Roman"/>
          <w:sz w:val="24"/>
          <w:szCs w:val="24"/>
        </w:rPr>
        <w:t>arwinian “laws of institutional life” and the invidious comparison with the liberal arts college.</w:t>
      </w:r>
    </w:p>
    <w:p w:rsidR="00D339D0" w:rsidRPr="00AF55A3" w:rsidRDefault="00D339D0" w:rsidP="00AF1BFD">
      <w:pPr>
        <w:spacing w:line="480" w:lineRule="auto"/>
        <w:jc w:val="left"/>
        <w:rPr>
          <w:rFonts w:ascii="Times New Roman" w:hAnsi="Times New Roman" w:cs="Times New Roman"/>
          <w:sz w:val="24"/>
          <w:szCs w:val="24"/>
        </w:rPr>
      </w:pPr>
      <w:r w:rsidRPr="00AF55A3">
        <w:rPr>
          <w:rFonts w:ascii="Times New Roman" w:hAnsi="Times New Roman" w:cs="Times New Roman"/>
          <w:sz w:val="24"/>
          <w:szCs w:val="24"/>
        </w:rPr>
        <w:tab/>
        <w:t>Likewise, Nicholas Murray Butler at Columbia, in his first annual report in 1902,  projected that, in the future, the liberal arts college could serve best by providing two years of general education.</w:t>
      </w:r>
      <w:r w:rsidRPr="00AF55A3">
        <w:rPr>
          <w:rStyle w:val="FootnoteReference"/>
          <w:rFonts w:cs="Times New Roman"/>
          <w:sz w:val="24"/>
          <w:szCs w:val="24"/>
        </w:rPr>
        <w:t xml:space="preserve">  </w:t>
      </w:r>
      <w:r w:rsidRPr="00AF55A3">
        <w:rPr>
          <w:rFonts w:ascii="Times New Roman" w:hAnsi="Times New Roman" w:cs="Times New Roman"/>
          <w:sz w:val="24"/>
          <w:szCs w:val="24"/>
        </w:rPr>
        <w:t xml:space="preserve">Then with some bravado, Butler declared that a plan should be drawn up for the citizens of New York to give the “urgently needed” sum of ten million dollars to Columbia </w:t>
      </w:r>
      <w:r w:rsidRPr="00AF55A3">
        <w:rPr>
          <w:rFonts w:ascii="Times New Roman" w:hAnsi="Times New Roman" w:cs="Times New Roman"/>
          <w:sz w:val="24"/>
          <w:szCs w:val="24"/>
        </w:rPr>
        <w:lastRenderedPageBreak/>
        <w:t>University.</w:t>
      </w:r>
      <w:r w:rsidRPr="00AF55A3">
        <w:rPr>
          <w:rStyle w:val="FootnoteReference"/>
          <w:rFonts w:cs="Times New Roman"/>
          <w:sz w:val="24"/>
          <w:szCs w:val="24"/>
        </w:rPr>
        <w:footnoteReference w:id="25"/>
      </w:r>
      <w:r w:rsidRPr="00AF55A3">
        <w:rPr>
          <w:rFonts w:ascii="Times New Roman" w:hAnsi="Times New Roman" w:cs="Times New Roman"/>
          <w:sz w:val="24"/>
          <w:szCs w:val="24"/>
        </w:rPr>
        <w:t xml:space="preserve">  This </w:t>
      </w:r>
      <w:r w:rsidR="000C3A3D">
        <w:rPr>
          <w:rFonts w:ascii="Times New Roman" w:hAnsi="Times New Roman" w:cs="Times New Roman"/>
          <w:sz w:val="24"/>
          <w:szCs w:val="24"/>
        </w:rPr>
        <w:t xml:space="preserve">amount </w:t>
      </w:r>
      <w:r w:rsidRPr="00AF55A3">
        <w:rPr>
          <w:rFonts w:ascii="Times New Roman" w:hAnsi="Times New Roman" w:cs="Times New Roman"/>
          <w:sz w:val="24"/>
          <w:szCs w:val="24"/>
        </w:rPr>
        <w:t xml:space="preserve">was </w:t>
      </w:r>
      <w:r w:rsidR="000C3A3D">
        <w:rPr>
          <w:rFonts w:ascii="Times New Roman" w:hAnsi="Times New Roman" w:cs="Times New Roman"/>
          <w:sz w:val="24"/>
          <w:szCs w:val="24"/>
        </w:rPr>
        <w:t>l</w:t>
      </w:r>
      <w:r w:rsidRPr="00AF55A3">
        <w:rPr>
          <w:rFonts w:ascii="Times New Roman" w:hAnsi="Times New Roman" w:cs="Times New Roman"/>
          <w:sz w:val="24"/>
          <w:szCs w:val="24"/>
        </w:rPr>
        <w:t xml:space="preserve">arger than all but two of the university endowments of the day, and neither the money or the plan materialized.  Thus, the pronouncements of </w:t>
      </w:r>
      <w:r w:rsidR="000C3A3D">
        <w:rPr>
          <w:rFonts w:ascii="Times New Roman" w:hAnsi="Times New Roman" w:cs="Times New Roman"/>
          <w:sz w:val="24"/>
          <w:szCs w:val="24"/>
        </w:rPr>
        <w:t xml:space="preserve">these early university advocates </w:t>
      </w:r>
      <w:r w:rsidRPr="00AF55A3">
        <w:rPr>
          <w:rFonts w:ascii="Times New Roman" w:hAnsi="Times New Roman" w:cs="Times New Roman"/>
          <w:sz w:val="24"/>
          <w:szCs w:val="24"/>
        </w:rPr>
        <w:t xml:space="preserve">are not </w:t>
      </w:r>
      <w:r w:rsidR="00C443FC">
        <w:rPr>
          <w:rFonts w:ascii="Times New Roman" w:hAnsi="Times New Roman" w:cs="Times New Roman"/>
          <w:sz w:val="24"/>
          <w:szCs w:val="24"/>
        </w:rPr>
        <w:t xml:space="preserve">measured </w:t>
      </w:r>
      <w:r w:rsidRPr="00AF55A3">
        <w:rPr>
          <w:rFonts w:ascii="Times New Roman" w:hAnsi="Times New Roman" w:cs="Times New Roman"/>
          <w:sz w:val="24"/>
          <w:szCs w:val="24"/>
        </w:rPr>
        <w:t xml:space="preserve">assessments, and their confident </w:t>
      </w:r>
      <w:r w:rsidR="007E1317" w:rsidRPr="00AF55A3">
        <w:rPr>
          <w:rFonts w:ascii="Times New Roman" w:hAnsi="Times New Roman" w:cs="Times New Roman"/>
          <w:sz w:val="24"/>
          <w:szCs w:val="24"/>
        </w:rPr>
        <w:t xml:space="preserve">trumpeting </w:t>
      </w:r>
      <w:r w:rsidR="00C10399">
        <w:rPr>
          <w:rFonts w:ascii="Times New Roman" w:hAnsi="Times New Roman" w:cs="Times New Roman"/>
          <w:sz w:val="24"/>
          <w:szCs w:val="24"/>
        </w:rPr>
        <w:t xml:space="preserve">almost </w:t>
      </w:r>
      <w:r w:rsidR="00C443FC">
        <w:rPr>
          <w:rFonts w:ascii="Times New Roman" w:hAnsi="Times New Roman" w:cs="Times New Roman"/>
          <w:sz w:val="24"/>
          <w:szCs w:val="24"/>
        </w:rPr>
        <w:t xml:space="preserve">drowns out the </w:t>
      </w:r>
      <w:r w:rsidR="000C3A3D">
        <w:rPr>
          <w:rFonts w:ascii="Times New Roman" w:hAnsi="Times New Roman" w:cs="Times New Roman"/>
          <w:sz w:val="24"/>
          <w:szCs w:val="24"/>
        </w:rPr>
        <w:t xml:space="preserve">prophetic </w:t>
      </w:r>
      <w:r w:rsidR="002F7B97">
        <w:rPr>
          <w:rFonts w:ascii="Times New Roman" w:hAnsi="Times New Roman" w:cs="Times New Roman"/>
          <w:sz w:val="24"/>
          <w:szCs w:val="24"/>
        </w:rPr>
        <w:t>and</w:t>
      </w:r>
      <w:r w:rsidR="000C3A3D">
        <w:rPr>
          <w:rFonts w:ascii="Times New Roman" w:hAnsi="Times New Roman" w:cs="Times New Roman"/>
          <w:sz w:val="24"/>
          <w:szCs w:val="24"/>
        </w:rPr>
        <w:t xml:space="preserve"> </w:t>
      </w:r>
      <w:r w:rsidR="00A04772">
        <w:rPr>
          <w:rFonts w:ascii="Times New Roman" w:hAnsi="Times New Roman" w:cs="Times New Roman"/>
          <w:sz w:val="24"/>
          <w:szCs w:val="24"/>
        </w:rPr>
        <w:t xml:space="preserve">defensive </w:t>
      </w:r>
      <w:r w:rsidRPr="00AF55A3">
        <w:rPr>
          <w:rFonts w:ascii="Times New Roman" w:hAnsi="Times New Roman" w:cs="Times New Roman"/>
          <w:sz w:val="24"/>
          <w:szCs w:val="24"/>
        </w:rPr>
        <w:t xml:space="preserve">undertones. </w:t>
      </w:r>
    </w:p>
    <w:p w:rsidR="00D339D0" w:rsidRPr="00AF55A3" w:rsidRDefault="00D339D0" w:rsidP="00AF1BFD">
      <w:pPr>
        <w:spacing w:line="480" w:lineRule="auto"/>
        <w:jc w:val="left"/>
        <w:rPr>
          <w:rFonts w:ascii="Times New Roman" w:hAnsi="Times New Roman" w:cs="Times New Roman"/>
          <w:sz w:val="24"/>
          <w:szCs w:val="24"/>
        </w:rPr>
      </w:pPr>
      <w:r w:rsidRPr="00AF55A3">
        <w:rPr>
          <w:rFonts w:ascii="Times New Roman" w:hAnsi="Times New Roman" w:cs="Times New Roman"/>
          <w:sz w:val="24"/>
          <w:szCs w:val="24"/>
        </w:rPr>
        <w:tab/>
        <w:t>The equivocal message of the early declension literature c</w:t>
      </w:r>
      <w:r w:rsidR="00A04772">
        <w:rPr>
          <w:rFonts w:ascii="Times New Roman" w:hAnsi="Times New Roman" w:cs="Times New Roman"/>
          <w:sz w:val="24"/>
          <w:szCs w:val="24"/>
        </w:rPr>
        <w:t>ame</w:t>
      </w:r>
      <w:r w:rsidRPr="00AF55A3">
        <w:rPr>
          <w:rFonts w:ascii="Times New Roman" w:hAnsi="Times New Roman" w:cs="Times New Roman"/>
          <w:sz w:val="24"/>
          <w:szCs w:val="24"/>
        </w:rPr>
        <w:t xml:space="preserve"> fully to light in</w:t>
      </w:r>
      <w:r w:rsidR="007C08A0">
        <w:rPr>
          <w:rFonts w:ascii="Times New Roman" w:hAnsi="Times New Roman" w:cs="Times New Roman"/>
          <w:sz w:val="24"/>
          <w:szCs w:val="24"/>
        </w:rPr>
        <w:t xml:space="preserve"> Richardson’s 1924 study, </w:t>
      </w:r>
      <w:r w:rsidR="007163EF" w:rsidRPr="00AF55A3">
        <w:rPr>
          <w:rFonts w:ascii="Times New Roman" w:hAnsi="Times New Roman" w:cs="Times New Roman"/>
          <w:sz w:val="24"/>
          <w:szCs w:val="24"/>
        </w:rPr>
        <w:t xml:space="preserve">which reported the results of a national survey </w:t>
      </w:r>
      <w:r w:rsidR="007C08A0">
        <w:rPr>
          <w:rFonts w:ascii="Times New Roman" w:hAnsi="Times New Roman" w:cs="Times New Roman"/>
          <w:sz w:val="24"/>
          <w:szCs w:val="24"/>
        </w:rPr>
        <w:t xml:space="preserve">undertaken </w:t>
      </w:r>
      <w:r w:rsidR="007163EF" w:rsidRPr="00AF55A3">
        <w:rPr>
          <w:rFonts w:ascii="Times New Roman" w:hAnsi="Times New Roman" w:cs="Times New Roman"/>
          <w:sz w:val="24"/>
          <w:szCs w:val="24"/>
        </w:rPr>
        <w:t>at the request of the president of Dartmouth</w:t>
      </w:r>
      <w:r w:rsidR="007163EF">
        <w:rPr>
          <w:rFonts w:ascii="Times New Roman" w:hAnsi="Times New Roman" w:cs="Times New Roman"/>
          <w:sz w:val="24"/>
          <w:szCs w:val="24"/>
        </w:rPr>
        <w:t xml:space="preserve">. </w:t>
      </w:r>
      <w:r w:rsidR="007C08A0">
        <w:rPr>
          <w:rFonts w:ascii="Times New Roman" w:hAnsi="Times New Roman" w:cs="Times New Roman"/>
          <w:sz w:val="24"/>
          <w:szCs w:val="24"/>
        </w:rPr>
        <w:t xml:space="preserve"> </w:t>
      </w:r>
      <w:r w:rsidRPr="00AF55A3">
        <w:rPr>
          <w:rFonts w:ascii="Times New Roman" w:hAnsi="Times New Roman" w:cs="Times New Roman"/>
          <w:sz w:val="24"/>
          <w:szCs w:val="24"/>
        </w:rPr>
        <w:t>Richardson</w:t>
      </w:r>
      <w:r w:rsidR="007C08A0">
        <w:rPr>
          <w:rFonts w:ascii="Times New Roman" w:hAnsi="Times New Roman" w:cs="Times New Roman"/>
          <w:sz w:val="24"/>
          <w:szCs w:val="24"/>
        </w:rPr>
        <w:t xml:space="preserve"> cited </w:t>
      </w:r>
      <w:r w:rsidRPr="00AF55A3">
        <w:rPr>
          <w:rFonts w:ascii="Times New Roman" w:hAnsi="Times New Roman" w:cs="Times New Roman"/>
          <w:sz w:val="24"/>
          <w:szCs w:val="24"/>
        </w:rPr>
        <w:t>Butler and Jordan and then ma</w:t>
      </w:r>
      <w:r w:rsidR="007C08A0">
        <w:rPr>
          <w:rFonts w:ascii="Times New Roman" w:hAnsi="Times New Roman" w:cs="Times New Roman"/>
          <w:sz w:val="24"/>
          <w:szCs w:val="24"/>
        </w:rPr>
        <w:t>de</w:t>
      </w:r>
      <w:r w:rsidRPr="00AF55A3">
        <w:rPr>
          <w:rFonts w:ascii="Times New Roman" w:hAnsi="Times New Roman" w:cs="Times New Roman"/>
          <w:sz w:val="24"/>
          <w:szCs w:val="24"/>
        </w:rPr>
        <w:t xml:space="preserve"> a surprising assessment:  </w:t>
      </w:r>
    </w:p>
    <w:p w:rsidR="00D339D0" w:rsidRPr="00AF55A3" w:rsidRDefault="00D339D0" w:rsidP="00AF1BFD">
      <w:pPr>
        <w:spacing w:line="480" w:lineRule="auto"/>
        <w:ind w:left="720" w:right="720"/>
        <w:jc w:val="left"/>
        <w:rPr>
          <w:rFonts w:ascii="Times New Roman" w:hAnsi="Times New Roman" w:cs="Times New Roman"/>
          <w:sz w:val="24"/>
          <w:szCs w:val="24"/>
        </w:rPr>
      </w:pPr>
      <w:r w:rsidRPr="00AF55A3">
        <w:rPr>
          <w:rFonts w:ascii="Times New Roman" w:hAnsi="Times New Roman" w:cs="Times New Roman"/>
          <w:sz w:val="24"/>
          <w:szCs w:val="24"/>
        </w:rPr>
        <w:t>Nearly a generation has gone by since these confident predictions were made, and there is little indication that that their verification is approaching.  In fact, there has never been a time when the college, either as a branch of the university or as an independent institution, has seemed more alive, more virile, more confident of its position, than today.  There has never been a time when its recognition as the heart of the American system of higher education has been more general.</w:t>
      </w:r>
      <w:r w:rsidRPr="00AF55A3">
        <w:rPr>
          <w:rStyle w:val="FootnoteReference"/>
          <w:rFonts w:cs="Times New Roman"/>
          <w:sz w:val="24"/>
          <w:szCs w:val="24"/>
        </w:rPr>
        <w:footnoteReference w:id="26"/>
      </w:r>
      <w:r w:rsidRPr="00AF55A3">
        <w:rPr>
          <w:rFonts w:ascii="Times New Roman" w:hAnsi="Times New Roman" w:cs="Times New Roman"/>
          <w:sz w:val="24"/>
          <w:szCs w:val="24"/>
        </w:rPr>
        <w:t xml:space="preserve">  </w:t>
      </w:r>
    </w:p>
    <w:p w:rsidR="00D339D0" w:rsidRDefault="00D339D0" w:rsidP="00AF1BFD">
      <w:pPr>
        <w:spacing w:line="480" w:lineRule="auto"/>
        <w:jc w:val="left"/>
        <w:rPr>
          <w:rFonts w:ascii="Times New Roman" w:hAnsi="Times New Roman" w:cs="Times New Roman"/>
          <w:sz w:val="24"/>
          <w:szCs w:val="24"/>
        </w:rPr>
      </w:pPr>
      <w:r w:rsidRPr="00AF55A3">
        <w:rPr>
          <w:rFonts w:ascii="Times New Roman" w:hAnsi="Times New Roman" w:cs="Times New Roman"/>
          <w:sz w:val="24"/>
          <w:szCs w:val="24"/>
        </w:rPr>
        <w:t xml:space="preserve">Consequently, this central text of the declension literature actually negates the narrative in the mid-1920s.  </w:t>
      </w:r>
    </w:p>
    <w:p w:rsidR="00D339D0" w:rsidRPr="00AF55A3" w:rsidRDefault="00345B4E" w:rsidP="00AF1BFD">
      <w:pPr>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Richardson’s view is corroborated by the presidency of </w:t>
      </w:r>
      <w:r w:rsidR="00D339D0" w:rsidRPr="00AF55A3">
        <w:rPr>
          <w:rFonts w:ascii="Times New Roman" w:hAnsi="Times New Roman" w:cs="Times New Roman"/>
          <w:sz w:val="24"/>
          <w:szCs w:val="24"/>
        </w:rPr>
        <w:t>Abbott Lawrence Lowell</w:t>
      </w:r>
      <w:r>
        <w:rPr>
          <w:rFonts w:ascii="Times New Roman" w:hAnsi="Times New Roman" w:cs="Times New Roman"/>
          <w:sz w:val="24"/>
          <w:szCs w:val="24"/>
        </w:rPr>
        <w:t>, who</w:t>
      </w:r>
      <w:r w:rsidR="00D339D0" w:rsidRPr="00AF55A3">
        <w:rPr>
          <w:rFonts w:ascii="Times New Roman" w:hAnsi="Times New Roman" w:cs="Times New Roman"/>
          <w:sz w:val="24"/>
          <w:szCs w:val="24"/>
        </w:rPr>
        <w:t xml:space="preserve"> succeeded Eliot a</w:t>
      </w:r>
      <w:r>
        <w:rPr>
          <w:rFonts w:ascii="Times New Roman" w:hAnsi="Times New Roman" w:cs="Times New Roman"/>
          <w:sz w:val="24"/>
          <w:szCs w:val="24"/>
        </w:rPr>
        <w:t xml:space="preserve">t </w:t>
      </w:r>
      <w:r w:rsidR="00D339D0" w:rsidRPr="00AF55A3">
        <w:rPr>
          <w:rFonts w:ascii="Times New Roman" w:hAnsi="Times New Roman" w:cs="Times New Roman"/>
          <w:sz w:val="24"/>
          <w:szCs w:val="24"/>
        </w:rPr>
        <w:t>Harvard in 1909</w:t>
      </w:r>
      <w:r>
        <w:rPr>
          <w:rFonts w:ascii="Times New Roman" w:hAnsi="Times New Roman" w:cs="Times New Roman"/>
          <w:sz w:val="24"/>
          <w:szCs w:val="24"/>
        </w:rPr>
        <w:t xml:space="preserve">.  </w:t>
      </w:r>
      <w:r w:rsidR="00D339D0" w:rsidRPr="00AF55A3">
        <w:rPr>
          <w:rFonts w:ascii="Times New Roman" w:hAnsi="Times New Roman" w:cs="Times New Roman"/>
          <w:sz w:val="24"/>
          <w:szCs w:val="24"/>
        </w:rPr>
        <w:t>Lowell actively sought during the 1910s and 1920s to strengthen collegiate culture at Harvard, which had deteriorated under the university-builder Eliot.</w:t>
      </w:r>
      <w:r w:rsidR="00D339D0" w:rsidRPr="00AF55A3">
        <w:rPr>
          <w:rStyle w:val="FootnoteReference"/>
          <w:rFonts w:cs="Times New Roman"/>
          <w:sz w:val="24"/>
          <w:szCs w:val="24"/>
        </w:rPr>
        <w:footnoteReference w:id="27"/>
      </w:r>
      <w:r w:rsidR="00D339D0" w:rsidRPr="00AF55A3">
        <w:rPr>
          <w:rFonts w:ascii="Times New Roman" w:hAnsi="Times New Roman" w:cs="Times New Roman"/>
          <w:sz w:val="24"/>
          <w:szCs w:val="24"/>
        </w:rPr>
        <w:t xml:space="preserve">  Lowell’s concern exemplifies the broad reaction against the research university </w:t>
      </w:r>
      <w:r w:rsidR="00D339D0" w:rsidRPr="00AF55A3">
        <w:rPr>
          <w:rFonts w:ascii="Times New Roman" w:hAnsi="Times New Roman" w:cs="Times New Roman"/>
          <w:sz w:val="24"/>
          <w:szCs w:val="24"/>
        </w:rPr>
        <w:lastRenderedPageBreak/>
        <w:t xml:space="preserve">movement that began in about 1910 and continued in subsequent decades.  This reaction strengthened </w:t>
      </w:r>
      <w:r w:rsidR="00C10399">
        <w:rPr>
          <w:rFonts w:ascii="Times New Roman" w:hAnsi="Times New Roman" w:cs="Times New Roman"/>
          <w:sz w:val="24"/>
          <w:szCs w:val="24"/>
        </w:rPr>
        <w:t xml:space="preserve">both </w:t>
      </w:r>
      <w:r w:rsidR="00D339D0" w:rsidRPr="00AF55A3">
        <w:rPr>
          <w:rFonts w:ascii="Times New Roman" w:hAnsi="Times New Roman" w:cs="Times New Roman"/>
          <w:sz w:val="24"/>
          <w:szCs w:val="24"/>
        </w:rPr>
        <w:t xml:space="preserve">the “liberal culture” and the liberal arts colleges that leaders of the research universities </w:t>
      </w:r>
      <w:r w:rsidR="00C10399">
        <w:rPr>
          <w:rFonts w:ascii="Times New Roman" w:hAnsi="Times New Roman" w:cs="Times New Roman"/>
          <w:sz w:val="24"/>
          <w:szCs w:val="24"/>
        </w:rPr>
        <w:t xml:space="preserve">had subordinated </w:t>
      </w:r>
      <w:r w:rsidR="00D339D0" w:rsidRPr="00AF55A3">
        <w:rPr>
          <w:rFonts w:ascii="Times New Roman" w:hAnsi="Times New Roman" w:cs="Times New Roman"/>
          <w:sz w:val="24"/>
          <w:szCs w:val="24"/>
        </w:rPr>
        <w:t>in previous decades.</w:t>
      </w:r>
    </w:p>
    <w:p w:rsidR="00D339D0" w:rsidRPr="00AF55A3" w:rsidRDefault="00D339D0" w:rsidP="00AF1BFD">
      <w:pPr>
        <w:spacing w:line="480" w:lineRule="auto"/>
        <w:jc w:val="left"/>
        <w:rPr>
          <w:rFonts w:ascii="Times New Roman" w:hAnsi="Times New Roman" w:cs="Times New Roman"/>
          <w:sz w:val="24"/>
          <w:szCs w:val="24"/>
        </w:rPr>
      </w:pPr>
      <w:r w:rsidRPr="00AF55A3">
        <w:rPr>
          <w:rFonts w:ascii="Times New Roman" w:hAnsi="Times New Roman" w:cs="Times New Roman"/>
          <w:sz w:val="24"/>
          <w:szCs w:val="24"/>
        </w:rPr>
        <w:tab/>
        <w:t>The next landmark text in the declension literature confirms this interpretation.  In 1962 Rudolph invoked Burgess, Butler, Harper, and Jordan in a chapter entitled “Counterrevolution,” in which he wrote: “Collegiate ideals were, therefore,  never entirely eclipsed by the university movement, and by the 1920s the temper of American higher education was really counterrevolutionary.”</w:t>
      </w:r>
      <w:r w:rsidRPr="00AF55A3">
        <w:rPr>
          <w:rStyle w:val="FootnoteReference"/>
          <w:rFonts w:cs="Times New Roman"/>
          <w:sz w:val="24"/>
          <w:szCs w:val="24"/>
        </w:rPr>
        <w:footnoteReference w:id="28"/>
      </w:r>
      <w:r w:rsidRPr="00AF55A3">
        <w:rPr>
          <w:rFonts w:ascii="Times New Roman" w:hAnsi="Times New Roman" w:cs="Times New Roman"/>
          <w:sz w:val="24"/>
          <w:szCs w:val="24"/>
        </w:rPr>
        <w:t xml:space="preserve">  Rudolph therefore cited the university prophets by way of rebutting them.  “The tug of th</w:t>
      </w:r>
      <w:r w:rsidR="00A04772">
        <w:rPr>
          <w:rFonts w:ascii="Times New Roman" w:hAnsi="Times New Roman" w:cs="Times New Roman"/>
          <w:sz w:val="24"/>
          <w:szCs w:val="24"/>
        </w:rPr>
        <w:t>e collegiate way was too strong</w:t>
      </w:r>
      <w:r w:rsidRPr="00AF55A3">
        <w:rPr>
          <w:rFonts w:ascii="Times New Roman" w:hAnsi="Times New Roman" w:cs="Times New Roman"/>
          <w:sz w:val="24"/>
          <w:szCs w:val="24"/>
        </w:rPr>
        <w:t>” on higher education, he concluded.</w:t>
      </w:r>
      <w:r w:rsidRPr="00AF55A3">
        <w:rPr>
          <w:rStyle w:val="FootnoteReference"/>
          <w:rFonts w:cs="Times New Roman"/>
          <w:sz w:val="24"/>
          <w:szCs w:val="24"/>
        </w:rPr>
        <w:footnoteReference w:id="29"/>
      </w:r>
    </w:p>
    <w:p w:rsidR="00D339D0" w:rsidRPr="00AF55A3" w:rsidRDefault="00D339D0" w:rsidP="00AF1BFD">
      <w:pPr>
        <w:spacing w:line="480" w:lineRule="auto"/>
        <w:jc w:val="left"/>
        <w:rPr>
          <w:rFonts w:ascii="Times New Roman" w:hAnsi="Times New Roman" w:cs="Times New Roman"/>
          <w:sz w:val="24"/>
          <w:szCs w:val="24"/>
        </w:rPr>
      </w:pPr>
      <w:r w:rsidRPr="00AF55A3">
        <w:rPr>
          <w:rFonts w:ascii="Times New Roman" w:hAnsi="Times New Roman" w:cs="Times New Roman"/>
          <w:sz w:val="24"/>
          <w:szCs w:val="24"/>
        </w:rPr>
        <w:tab/>
        <w:t xml:space="preserve">Certain texts in the declension literature subsequently recognized these qualifications on the university </w:t>
      </w:r>
      <w:r w:rsidR="00C12FE4">
        <w:rPr>
          <w:rFonts w:ascii="Times New Roman" w:hAnsi="Times New Roman" w:cs="Times New Roman"/>
          <w:sz w:val="24"/>
          <w:szCs w:val="24"/>
        </w:rPr>
        <w:t>advocates</w:t>
      </w:r>
      <w:r w:rsidRPr="00AF55A3">
        <w:rPr>
          <w:rFonts w:ascii="Times New Roman" w:hAnsi="Times New Roman" w:cs="Times New Roman"/>
          <w:sz w:val="24"/>
          <w:szCs w:val="24"/>
        </w:rPr>
        <w:t>.  Breneman astutely held “the Harper-Butler-Jordan forecasts of demise to be extreme,” for example.  But he then concluded that  “private colleges have been...increasingly marginalized during this century as public universities and community colleges have grown dramatically in size and number.”</w:t>
      </w:r>
      <w:r w:rsidRPr="00AF55A3">
        <w:rPr>
          <w:rStyle w:val="FootnoteReference"/>
          <w:rFonts w:cs="Times New Roman"/>
          <w:sz w:val="24"/>
          <w:szCs w:val="24"/>
        </w:rPr>
        <w:footnoteReference w:id="30"/>
      </w:r>
      <w:r w:rsidRPr="00AF55A3">
        <w:rPr>
          <w:rFonts w:ascii="Times New Roman" w:hAnsi="Times New Roman" w:cs="Times New Roman"/>
          <w:sz w:val="24"/>
          <w:szCs w:val="24"/>
        </w:rPr>
        <w:t xml:space="preserve">  Hence, Breneman </w:t>
      </w:r>
      <w:r w:rsidR="00A04772" w:rsidRPr="00AF55A3">
        <w:rPr>
          <w:rFonts w:ascii="Times New Roman" w:hAnsi="Times New Roman" w:cs="Times New Roman"/>
          <w:sz w:val="24"/>
          <w:szCs w:val="24"/>
        </w:rPr>
        <w:t>discount</w:t>
      </w:r>
      <w:r w:rsidR="00A04772">
        <w:rPr>
          <w:rFonts w:ascii="Times New Roman" w:hAnsi="Times New Roman" w:cs="Times New Roman"/>
          <w:sz w:val="24"/>
          <w:szCs w:val="24"/>
        </w:rPr>
        <w:t>ed</w:t>
      </w:r>
      <w:r w:rsidR="00A04772" w:rsidRPr="00AF55A3">
        <w:rPr>
          <w:rFonts w:ascii="Times New Roman" w:hAnsi="Times New Roman" w:cs="Times New Roman"/>
          <w:sz w:val="24"/>
          <w:szCs w:val="24"/>
        </w:rPr>
        <w:t xml:space="preserve"> the inception of declension </w:t>
      </w:r>
      <w:r w:rsidR="00A04772">
        <w:rPr>
          <w:rFonts w:ascii="Times New Roman" w:hAnsi="Times New Roman" w:cs="Times New Roman"/>
          <w:sz w:val="24"/>
          <w:szCs w:val="24"/>
        </w:rPr>
        <w:t xml:space="preserve">and then </w:t>
      </w:r>
      <w:r w:rsidRPr="00AF55A3">
        <w:rPr>
          <w:rFonts w:ascii="Times New Roman" w:hAnsi="Times New Roman" w:cs="Times New Roman"/>
          <w:sz w:val="24"/>
          <w:szCs w:val="24"/>
        </w:rPr>
        <w:t>affirmed the century-long decline.  Such equivocation typifies  the declension literature, which often qualifies the waning of colleges even while affirming that their decline has been unchecked and inexorable or “downhill all the way.”</w:t>
      </w:r>
      <w:r w:rsidRPr="00AF55A3">
        <w:rPr>
          <w:rStyle w:val="FootnoteReference"/>
          <w:rFonts w:cs="Times New Roman"/>
          <w:sz w:val="24"/>
          <w:szCs w:val="24"/>
        </w:rPr>
        <w:footnoteReference w:id="31"/>
      </w:r>
    </w:p>
    <w:p w:rsidR="00D339D0" w:rsidRPr="00AF55A3" w:rsidRDefault="00D339D0" w:rsidP="00AF1BFD">
      <w:pPr>
        <w:spacing w:line="480" w:lineRule="auto"/>
        <w:jc w:val="left"/>
        <w:rPr>
          <w:rFonts w:ascii="Times New Roman" w:hAnsi="Times New Roman" w:cs="Times New Roman"/>
          <w:sz w:val="24"/>
          <w:szCs w:val="24"/>
        </w:rPr>
      </w:pPr>
      <w:r w:rsidRPr="00AF55A3">
        <w:rPr>
          <w:rFonts w:ascii="Times New Roman" w:hAnsi="Times New Roman" w:cs="Times New Roman"/>
          <w:sz w:val="24"/>
          <w:szCs w:val="24"/>
        </w:rPr>
        <w:tab/>
        <w:t>This equivocation stems partly from a misleading reliance on proportional arguments.  For example, several distinguished authorities have cited the</w:t>
      </w:r>
      <w:r w:rsidR="00A04772">
        <w:rPr>
          <w:rFonts w:ascii="Times New Roman" w:hAnsi="Times New Roman" w:cs="Times New Roman"/>
          <w:sz w:val="24"/>
          <w:szCs w:val="24"/>
        </w:rPr>
        <w:t xml:space="preserve"> following</w:t>
      </w:r>
      <w:r w:rsidRPr="00AF55A3">
        <w:rPr>
          <w:rFonts w:ascii="Times New Roman" w:hAnsi="Times New Roman" w:cs="Times New Roman"/>
          <w:sz w:val="24"/>
          <w:szCs w:val="24"/>
        </w:rPr>
        <w:t xml:space="preserve"> data to show the decline </w:t>
      </w:r>
      <w:r w:rsidRPr="00AF55A3">
        <w:rPr>
          <w:rFonts w:ascii="Times New Roman" w:hAnsi="Times New Roman" w:cs="Times New Roman"/>
          <w:sz w:val="24"/>
          <w:szCs w:val="24"/>
        </w:rPr>
        <w:lastRenderedPageBreak/>
        <w:t>of colleges: between 1955 and 1970 the percentage of liberal arts colleges among institutions of higher education dropped from 40 percent to 24 percent, and the enrollment of liberal a</w:t>
      </w:r>
      <w:r w:rsidR="00345B4E">
        <w:rPr>
          <w:rFonts w:ascii="Times New Roman" w:hAnsi="Times New Roman" w:cs="Times New Roman"/>
          <w:sz w:val="24"/>
          <w:szCs w:val="24"/>
        </w:rPr>
        <w:t xml:space="preserve">rts colleges dropped from </w:t>
      </w:r>
      <w:r w:rsidRPr="00AF55A3">
        <w:rPr>
          <w:rFonts w:ascii="Times New Roman" w:hAnsi="Times New Roman" w:cs="Times New Roman"/>
          <w:sz w:val="24"/>
          <w:szCs w:val="24"/>
        </w:rPr>
        <w:t>26 percent to 8 percent of students in higher education.  Hence, liberal arts colleges became “a much diminished part of the educational landscape” in the words of Breneman and others.</w:t>
      </w:r>
      <w:r w:rsidRPr="00AF55A3">
        <w:rPr>
          <w:rStyle w:val="FootnoteReference"/>
          <w:rFonts w:cs="Times New Roman"/>
          <w:sz w:val="24"/>
          <w:szCs w:val="24"/>
        </w:rPr>
        <w:footnoteReference w:id="32"/>
      </w:r>
    </w:p>
    <w:p w:rsidR="00D339D0" w:rsidRPr="00AF55A3" w:rsidRDefault="00D339D0" w:rsidP="00AF1BFD">
      <w:pPr>
        <w:spacing w:line="480" w:lineRule="auto"/>
        <w:jc w:val="left"/>
        <w:rPr>
          <w:rFonts w:ascii="Times New Roman" w:hAnsi="Times New Roman" w:cs="Times New Roman"/>
          <w:sz w:val="24"/>
          <w:szCs w:val="24"/>
        </w:rPr>
      </w:pPr>
      <w:r w:rsidRPr="00AF55A3">
        <w:rPr>
          <w:rFonts w:ascii="Times New Roman" w:hAnsi="Times New Roman" w:cs="Times New Roman"/>
          <w:sz w:val="24"/>
          <w:szCs w:val="24"/>
        </w:rPr>
        <w:tab/>
        <w:t xml:space="preserve">Now, these percentages indicate that the </w:t>
      </w:r>
      <w:r w:rsidRPr="00AF55A3">
        <w:rPr>
          <w:rFonts w:ascii="Times New Roman" w:hAnsi="Times New Roman" w:cs="Times New Roman"/>
          <w:i/>
          <w:sz w:val="24"/>
          <w:szCs w:val="24"/>
        </w:rPr>
        <w:t>share</w:t>
      </w:r>
      <w:r w:rsidRPr="00AF55A3">
        <w:rPr>
          <w:rFonts w:ascii="Times New Roman" w:hAnsi="Times New Roman" w:cs="Times New Roman"/>
          <w:sz w:val="24"/>
          <w:szCs w:val="24"/>
        </w:rPr>
        <w:t xml:space="preserve"> or </w:t>
      </w:r>
      <w:r w:rsidRPr="00AF55A3">
        <w:rPr>
          <w:rFonts w:ascii="Times New Roman" w:hAnsi="Times New Roman" w:cs="Times New Roman"/>
          <w:i/>
          <w:sz w:val="24"/>
          <w:szCs w:val="24"/>
        </w:rPr>
        <w:t>fraction</w:t>
      </w:r>
      <w:r w:rsidRPr="00AF55A3">
        <w:rPr>
          <w:rFonts w:ascii="Times New Roman" w:hAnsi="Times New Roman" w:cs="Times New Roman"/>
          <w:sz w:val="24"/>
          <w:szCs w:val="24"/>
        </w:rPr>
        <w:t xml:space="preserve"> of liberal arts colleges and their enrollment decreased within higher education.  But during the period from 1950 to 1970 federal financial aid for students grew enormously due to the </w:t>
      </w:r>
      <w:proofErr w:type="spellStart"/>
      <w:r w:rsidRPr="00AF55A3">
        <w:rPr>
          <w:rFonts w:ascii="Times New Roman" w:hAnsi="Times New Roman" w:cs="Times New Roman"/>
          <w:sz w:val="24"/>
          <w:szCs w:val="24"/>
        </w:rPr>
        <w:t>G.I.</w:t>
      </w:r>
      <w:proofErr w:type="spellEnd"/>
      <w:r w:rsidRPr="00AF55A3">
        <w:rPr>
          <w:rFonts w:ascii="Times New Roman" w:hAnsi="Times New Roman" w:cs="Times New Roman"/>
          <w:sz w:val="24"/>
          <w:szCs w:val="24"/>
        </w:rPr>
        <w:t xml:space="preserve"> Bill following World War II, the National Defense Education Act of 1958, and the Higher Education Act of 1965.  Meanwhile, the research universities received vast new financial resources through federal funding for research, led by the National Science Foundation, which was established soon after World War II.  As a result, between 1950 and 1970 the undergraduate enrollment in the nation increased nearly four times from 2.3 million to 8.6 million, while the number of colleges and universities rose from about 1,800 to about 2,800.</w:t>
      </w:r>
      <w:r w:rsidRPr="00AF55A3">
        <w:rPr>
          <w:rStyle w:val="FootnoteReference"/>
          <w:rFonts w:cs="Times New Roman"/>
          <w:sz w:val="24"/>
          <w:szCs w:val="24"/>
        </w:rPr>
        <w:footnoteReference w:id="33"/>
      </w:r>
    </w:p>
    <w:p w:rsidR="00D339D0" w:rsidRPr="00AF55A3" w:rsidRDefault="00D339D0" w:rsidP="00AF1BFD">
      <w:pPr>
        <w:spacing w:line="480" w:lineRule="auto"/>
        <w:jc w:val="left"/>
        <w:rPr>
          <w:rFonts w:ascii="Times New Roman" w:hAnsi="Times New Roman" w:cs="Times New Roman"/>
          <w:sz w:val="24"/>
          <w:szCs w:val="24"/>
        </w:rPr>
      </w:pPr>
      <w:r w:rsidRPr="00AF55A3">
        <w:rPr>
          <w:rFonts w:ascii="Times New Roman" w:hAnsi="Times New Roman" w:cs="Times New Roman"/>
          <w:sz w:val="24"/>
          <w:szCs w:val="24"/>
        </w:rPr>
        <w:tab/>
      </w:r>
      <w:r w:rsidR="00345B4E">
        <w:rPr>
          <w:rFonts w:ascii="Times New Roman" w:hAnsi="Times New Roman" w:cs="Times New Roman"/>
          <w:sz w:val="24"/>
          <w:szCs w:val="24"/>
        </w:rPr>
        <w:t>A</w:t>
      </w:r>
      <w:r w:rsidRPr="00AF55A3">
        <w:rPr>
          <w:rFonts w:ascii="Times New Roman" w:hAnsi="Times New Roman" w:cs="Times New Roman"/>
          <w:sz w:val="24"/>
          <w:szCs w:val="24"/>
        </w:rPr>
        <w:t xml:space="preserve"> decreasing proportion during a period of massive expansion in absolute numbers does not demonstrate</w:t>
      </w:r>
      <w:r w:rsidR="00345B4E">
        <w:rPr>
          <w:rFonts w:ascii="Times New Roman" w:hAnsi="Times New Roman" w:cs="Times New Roman"/>
          <w:sz w:val="24"/>
          <w:szCs w:val="24"/>
        </w:rPr>
        <w:t>, of course,</w:t>
      </w:r>
      <w:r w:rsidRPr="00AF55A3">
        <w:rPr>
          <w:rFonts w:ascii="Times New Roman" w:hAnsi="Times New Roman" w:cs="Times New Roman"/>
          <w:sz w:val="24"/>
          <w:szCs w:val="24"/>
        </w:rPr>
        <w:t xml:space="preserve"> that the absolute number of liberal arts colleges or their students declined between 1945 and 1970.  In fact, it has been suggested that many liberal arts colleges actually increased their enrollment of liberal arts majors between 1956 and 1970.</w:t>
      </w:r>
      <w:r w:rsidRPr="00AF55A3">
        <w:rPr>
          <w:rStyle w:val="FootnoteReference"/>
          <w:rFonts w:cs="Times New Roman"/>
          <w:sz w:val="24"/>
          <w:szCs w:val="24"/>
        </w:rPr>
        <w:footnoteReference w:id="34"/>
      </w:r>
      <w:r w:rsidRPr="00AF55A3">
        <w:rPr>
          <w:rFonts w:ascii="Times New Roman" w:hAnsi="Times New Roman" w:cs="Times New Roman"/>
          <w:sz w:val="24"/>
          <w:szCs w:val="24"/>
        </w:rPr>
        <w:t xml:space="preserve">  Whether or not that is true, there appears to be no authority in the declension literature maintaining that the absolute number of liberal arts colleges or their enrollment declined between 1945 and 1970.  </w:t>
      </w:r>
      <w:r w:rsidRPr="00AF55A3">
        <w:rPr>
          <w:rFonts w:ascii="Times New Roman" w:hAnsi="Times New Roman" w:cs="Times New Roman"/>
          <w:sz w:val="24"/>
          <w:szCs w:val="24"/>
        </w:rPr>
        <w:lastRenderedPageBreak/>
        <w:t>Nevertheless, the lamentation that liberal arts colleges were “much diminished” persisted subsequently in the declension literature.</w:t>
      </w:r>
      <w:r w:rsidRPr="00AF55A3">
        <w:rPr>
          <w:rStyle w:val="FootnoteReference"/>
          <w:rFonts w:cs="Times New Roman"/>
          <w:sz w:val="24"/>
          <w:szCs w:val="24"/>
        </w:rPr>
        <w:footnoteReference w:id="35"/>
      </w:r>
    </w:p>
    <w:p w:rsidR="00D339D0" w:rsidRPr="00AF55A3" w:rsidRDefault="00D339D0" w:rsidP="00AF1BFD">
      <w:pPr>
        <w:spacing w:line="480" w:lineRule="auto"/>
        <w:jc w:val="left"/>
        <w:rPr>
          <w:rFonts w:ascii="Times New Roman" w:hAnsi="Times New Roman" w:cs="Times New Roman"/>
          <w:sz w:val="24"/>
          <w:szCs w:val="24"/>
        </w:rPr>
      </w:pPr>
      <w:r w:rsidRPr="00AF55A3">
        <w:rPr>
          <w:rFonts w:ascii="Times New Roman" w:hAnsi="Times New Roman" w:cs="Times New Roman"/>
          <w:sz w:val="24"/>
          <w:szCs w:val="24"/>
        </w:rPr>
        <w:tab/>
        <w:t>Apart from equivocation, the critical point here is that the serious decline in the number of liberal arts colleges begins only after 1970.  Indeed, David Breneman focused his research on the years from 1972 to</w:t>
      </w:r>
      <w:r w:rsidR="00A04772">
        <w:rPr>
          <w:rFonts w:ascii="Times New Roman" w:hAnsi="Times New Roman" w:cs="Times New Roman"/>
          <w:sz w:val="24"/>
          <w:szCs w:val="24"/>
        </w:rPr>
        <w:t xml:space="preserve"> </w:t>
      </w:r>
      <w:r w:rsidRPr="00AF55A3">
        <w:rPr>
          <w:rFonts w:ascii="Times New Roman" w:hAnsi="Times New Roman" w:cs="Times New Roman"/>
          <w:sz w:val="24"/>
          <w:szCs w:val="24"/>
        </w:rPr>
        <w:t>1988</w:t>
      </w:r>
      <w:r w:rsidR="00A04772">
        <w:rPr>
          <w:rFonts w:ascii="Times New Roman" w:hAnsi="Times New Roman" w:cs="Times New Roman"/>
          <w:sz w:val="24"/>
          <w:szCs w:val="24"/>
        </w:rPr>
        <w:t xml:space="preserve">.  According to his analysis of </w:t>
      </w:r>
      <w:r w:rsidRPr="00AF55A3">
        <w:rPr>
          <w:rFonts w:ascii="Times New Roman" w:hAnsi="Times New Roman" w:cs="Times New Roman"/>
          <w:sz w:val="24"/>
          <w:szCs w:val="24"/>
        </w:rPr>
        <w:t>the degrees awarded by the 540 Liberal Arts Colleges so designated by the Carnegie Foundation for the Advancement of Teaching</w:t>
      </w:r>
      <w:r w:rsidR="00A04772">
        <w:rPr>
          <w:rFonts w:ascii="Times New Roman" w:hAnsi="Times New Roman" w:cs="Times New Roman"/>
          <w:sz w:val="24"/>
          <w:szCs w:val="24"/>
        </w:rPr>
        <w:t>,</w:t>
      </w:r>
      <w:r w:rsidRPr="00AF55A3">
        <w:rPr>
          <w:rFonts w:ascii="Times New Roman" w:hAnsi="Times New Roman" w:cs="Times New Roman"/>
          <w:sz w:val="24"/>
          <w:szCs w:val="24"/>
        </w:rPr>
        <w:t xml:space="preserve"> liberal arts colleges were shifting rapidly toward offering vocational education in order to recruit students and survive financially.  Breneman concluded that the number of liberal arts colleges awarding at least 40 percent of their degrees in the liberal arts dropped precipitously from 540 to 206 between 1972 and 1988.  The other 334 closed, expanded into comprehensive institutions, or converted into “professional colleges” </w:t>
      </w:r>
      <w:r w:rsidR="003033EE">
        <w:rPr>
          <w:rFonts w:ascii="Times New Roman" w:hAnsi="Times New Roman" w:cs="Times New Roman"/>
          <w:sz w:val="24"/>
          <w:szCs w:val="24"/>
        </w:rPr>
        <w:t xml:space="preserve">and lost </w:t>
      </w:r>
      <w:r w:rsidRPr="00AF55A3">
        <w:rPr>
          <w:rFonts w:ascii="Times New Roman" w:hAnsi="Times New Roman" w:cs="Times New Roman"/>
          <w:sz w:val="24"/>
          <w:szCs w:val="24"/>
        </w:rPr>
        <w:t xml:space="preserve">their standing as “liberal arts colleges” </w:t>
      </w:r>
      <w:r w:rsidR="003033EE">
        <w:rPr>
          <w:rFonts w:ascii="Times New Roman" w:hAnsi="Times New Roman" w:cs="Times New Roman"/>
          <w:sz w:val="24"/>
          <w:szCs w:val="24"/>
        </w:rPr>
        <w:t>in Breneman’s terms</w:t>
      </w:r>
      <w:r w:rsidRPr="00AF55A3">
        <w:rPr>
          <w:rFonts w:ascii="Times New Roman" w:hAnsi="Times New Roman" w:cs="Times New Roman"/>
          <w:sz w:val="24"/>
          <w:szCs w:val="24"/>
        </w:rPr>
        <w:t>.</w:t>
      </w:r>
      <w:r w:rsidRPr="00AF55A3">
        <w:rPr>
          <w:rStyle w:val="FootnoteReference"/>
          <w:rFonts w:cs="Times New Roman"/>
          <w:sz w:val="24"/>
          <w:szCs w:val="24"/>
        </w:rPr>
        <w:footnoteReference w:id="36"/>
      </w:r>
    </w:p>
    <w:p w:rsidR="00D339D0" w:rsidRPr="00AF55A3" w:rsidRDefault="00D339D0" w:rsidP="00AF1BFD">
      <w:pPr>
        <w:spacing w:line="480" w:lineRule="auto"/>
        <w:jc w:val="left"/>
        <w:rPr>
          <w:rFonts w:ascii="Times New Roman" w:hAnsi="Times New Roman" w:cs="Times New Roman"/>
          <w:sz w:val="24"/>
          <w:szCs w:val="24"/>
        </w:rPr>
      </w:pPr>
      <w:r w:rsidRPr="00AF55A3">
        <w:rPr>
          <w:rFonts w:ascii="Times New Roman" w:hAnsi="Times New Roman" w:cs="Times New Roman"/>
          <w:sz w:val="24"/>
          <w:szCs w:val="24"/>
        </w:rPr>
        <w:tab/>
        <w:t>This finding attracted much attention and stoked the declension narrative, as scholars subsequently maintained that “the liberal arts colleges continue to struggle on several fronts” during the 1990s and the first decade of the 2000s.</w:t>
      </w:r>
      <w:r w:rsidRPr="00AF55A3">
        <w:rPr>
          <w:rStyle w:val="FootnoteReference"/>
          <w:rFonts w:cs="Times New Roman"/>
          <w:sz w:val="24"/>
          <w:szCs w:val="24"/>
        </w:rPr>
        <w:footnoteReference w:id="37"/>
      </w:r>
      <w:r w:rsidRPr="00AF55A3">
        <w:rPr>
          <w:rFonts w:ascii="Times New Roman" w:hAnsi="Times New Roman" w:cs="Times New Roman"/>
          <w:sz w:val="24"/>
          <w:szCs w:val="24"/>
        </w:rPr>
        <w:t xml:space="preserve">  But no major study evidenced the trend with comprehensive data until 2011, when another major quantitative study in the declension narrative published.  Ferrall, an enthusiastic defender of the private liberal arts college, examined the 225 small, private liberal arts colleges identified by U.S. News &amp; World Report.  In the previous two decades between 1987 and 2008, Ferrall found a marked trend toward granting degrees in vocational  subjects,</w:t>
      </w:r>
      <w:r w:rsidR="0015532F" w:rsidRPr="00AF55A3">
        <w:rPr>
          <w:rStyle w:val="FootnoteReference"/>
          <w:rFonts w:cs="Times New Roman"/>
          <w:sz w:val="24"/>
          <w:szCs w:val="24"/>
        </w:rPr>
        <w:t>.</w:t>
      </w:r>
      <w:r w:rsidRPr="00AF55A3">
        <w:rPr>
          <w:rStyle w:val="FootnoteReference"/>
          <w:rFonts w:cs="Times New Roman"/>
          <w:sz w:val="24"/>
          <w:szCs w:val="24"/>
        </w:rPr>
        <w:footnoteReference w:id="38"/>
      </w:r>
      <w:r w:rsidRPr="00AF55A3">
        <w:rPr>
          <w:rFonts w:ascii="Times New Roman" w:hAnsi="Times New Roman" w:cs="Times New Roman"/>
          <w:sz w:val="24"/>
          <w:szCs w:val="24"/>
        </w:rPr>
        <w:t xml:space="preserve"> </w:t>
      </w:r>
      <w:r w:rsidR="0015532F" w:rsidRPr="00AF55A3">
        <w:rPr>
          <w:rFonts w:ascii="Times New Roman" w:hAnsi="Times New Roman" w:cs="Times New Roman"/>
          <w:sz w:val="24"/>
          <w:szCs w:val="24"/>
        </w:rPr>
        <w:t>He concluded</w:t>
      </w:r>
      <w:r w:rsidRPr="00AF55A3">
        <w:rPr>
          <w:rFonts w:ascii="Times New Roman" w:hAnsi="Times New Roman" w:cs="Times New Roman"/>
          <w:sz w:val="24"/>
          <w:szCs w:val="24"/>
        </w:rPr>
        <w:t>:</w:t>
      </w:r>
    </w:p>
    <w:p w:rsidR="00D339D0" w:rsidRPr="00AF55A3" w:rsidRDefault="00D339D0" w:rsidP="00AF1BFD">
      <w:pPr>
        <w:spacing w:line="480" w:lineRule="auto"/>
        <w:ind w:left="720" w:right="720"/>
        <w:jc w:val="left"/>
        <w:rPr>
          <w:rFonts w:ascii="Times New Roman" w:hAnsi="Times New Roman" w:cs="Times New Roman"/>
          <w:sz w:val="24"/>
          <w:szCs w:val="24"/>
        </w:rPr>
      </w:pPr>
      <w:r w:rsidRPr="00AF55A3">
        <w:rPr>
          <w:rFonts w:ascii="Times New Roman" w:hAnsi="Times New Roman" w:cs="Times New Roman"/>
          <w:sz w:val="24"/>
          <w:szCs w:val="24"/>
        </w:rPr>
        <w:lastRenderedPageBreak/>
        <w:t>all liberal arts colleges...are threatened with sliding over the brink....Impoverished colleges...are...being forced to close their doors, sell out to for-profits, or completely abandon liberal arts.  Wealthy...colleges face becoming mere credential generators--isolated marginalized remnants of economic privilege....The gravest threat may be to the middle group,...which...suffer the most in the competition with tax-supported, low-tuition, public universities.</w:t>
      </w:r>
      <w:r w:rsidRPr="00AF55A3">
        <w:rPr>
          <w:rStyle w:val="FootnoteReference"/>
          <w:rFonts w:cs="Times New Roman"/>
          <w:sz w:val="24"/>
          <w:szCs w:val="24"/>
        </w:rPr>
        <w:footnoteReference w:id="39"/>
      </w:r>
      <w:r w:rsidRPr="00AF55A3">
        <w:rPr>
          <w:rFonts w:ascii="Times New Roman" w:hAnsi="Times New Roman" w:cs="Times New Roman"/>
          <w:sz w:val="24"/>
          <w:szCs w:val="24"/>
        </w:rPr>
        <w:t xml:space="preserve"> </w:t>
      </w:r>
    </w:p>
    <w:p w:rsidR="00D339D0" w:rsidRPr="00AF55A3" w:rsidRDefault="00D339D0" w:rsidP="00AF1BFD">
      <w:pPr>
        <w:spacing w:line="480" w:lineRule="auto"/>
        <w:jc w:val="left"/>
        <w:rPr>
          <w:rFonts w:ascii="Times New Roman" w:hAnsi="Times New Roman" w:cs="Times New Roman"/>
          <w:sz w:val="24"/>
          <w:szCs w:val="24"/>
        </w:rPr>
      </w:pPr>
      <w:r w:rsidRPr="00AF55A3">
        <w:rPr>
          <w:rFonts w:ascii="Times New Roman" w:hAnsi="Times New Roman" w:cs="Times New Roman"/>
          <w:sz w:val="24"/>
          <w:szCs w:val="24"/>
        </w:rPr>
        <w:t>Nevertheless, the endpoint of Ferrall’s study was the academic year 2007-2008, and if his data are re-calculated in terms of Breneman’s standards twenty years earlier, a surprising result appears.</w:t>
      </w:r>
    </w:p>
    <w:p w:rsidR="00D339D0" w:rsidRPr="00AF55A3" w:rsidRDefault="00D339D0" w:rsidP="00AF1BFD">
      <w:pPr>
        <w:spacing w:line="480" w:lineRule="auto"/>
        <w:jc w:val="left"/>
        <w:rPr>
          <w:rFonts w:ascii="Times New Roman" w:hAnsi="Times New Roman" w:cs="Times New Roman"/>
          <w:sz w:val="24"/>
          <w:szCs w:val="24"/>
        </w:rPr>
      </w:pPr>
      <w:r w:rsidRPr="00AF55A3">
        <w:rPr>
          <w:rFonts w:ascii="Times New Roman" w:hAnsi="Times New Roman" w:cs="Times New Roman"/>
          <w:sz w:val="24"/>
          <w:szCs w:val="24"/>
        </w:rPr>
        <w:tab/>
        <w:t>First, consider the threshold of granting at least 40 percent of degrees in the liberal arts. Breneman found 206 such colleges in 1988; Ferrall found 209 such colleges in 2008.  Next, consider the higher standard of granting at least 75 percent degrees in the liberal arts. Breneman found 90 such colleges in 1988; Ferrall found 91 such colleges in 2008.</w:t>
      </w:r>
      <w:r w:rsidRPr="00AF55A3">
        <w:rPr>
          <w:rStyle w:val="FootnoteReference"/>
          <w:rFonts w:cs="Times New Roman"/>
          <w:sz w:val="24"/>
          <w:szCs w:val="24"/>
        </w:rPr>
        <w:footnoteReference w:id="40"/>
      </w:r>
      <w:r w:rsidRPr="00AF55A3">
        <w:rPr>
          <w:rFonts w:ascii="Times New Roman" w:hAnsi="Times New Roman" w:cs="Times New Roman"/>
          <w:sz w:val="24"/>
          <w:szCs w:val="24"/>
        </w:rPr>
        <w:t xml:space="preserve">  Even granting the variability in these kinds of data, it is remarkable that these two independent studies arrive at nearly identical numbers for liberal arts colleges in 1988 and 2008. </w:t>
      </w:r>
    </w:p>
    <w:p w:rsidR="00A04772" w:rsidRDefault="00D339D0" w:rsidP="00AF1BFD">
      <w:pPr>
        <w:spacing w:line="480" w:lineRule="auto"/>
        <w:jc w:val="left"/>
        <w:rPr>
          <w:rFonts w:ascii="Times New Roman" w:hAnsi="Times New Roman" w:cs="Times New Roman"/>
          <w:sz w:val="24"/>
          <w:szCs w:val="24"/>
        </w:rPr>
      </w:pPr>
      <w:r w:rsidRPr="00AF55A3">
        <w:rPr>
          <w:rFonts w:ascii="Times New Roman" w:hAnsi="Times New Roman" w:cs="Times New Roman"/>
          <w:sz w:val="24"/>
          <w:szCs w:val="24"/>
        </w:rPr>
        <w:tab/>
        <w:t>The issue</w:t>
      </w:r>
      <w:r w:rsidR="00F4315D" w:rsidRPr="00AF55A3">
        <w:rPr>
          <w:rFonts w:ascii="Times New Roman" w:hAnsi="Times New Roman" w:cs="Times New Roman"/>
          <w:sz w:val="24"/>
          <w:szCs w:val="24"/>
        </w:rPr>
        <w:t xml:space="preserve"> becomes even more intriguing in light of </w:t>
      </w:r>
      <w:r w:rsidRPr="00AF55A3">
        <w:rPr>
          <w:rFonts w:ascii="Times New Roman" w:hAnsi="Times New Roman" w:cs="Times New Roman"/>
          <w:sz w:val="24"/>
          <w:szCs w:val="24"/>
        </w:rPr>
        <w:t xml:space="preserve">the 2012 study, published by the </w:t>
      </w:r>
      <w:proofErr w:type="spellStart"/>
      <w:r w:rsidRPr="00AF55A3">
        <w:rPr>
          <w:rFonts w:ascii="Times New Roman" w:hAnsi="Times New Roman" w:cs="Times New Roman"/>
          <w:sz w:val="24"/>
          <w:szCs w:val="24"/>
        </w:rPr>
        <w:t>AACU</w:t>
      </w:r>
      <w:proofErr w:type="spellEnd"/>
      <w:r w:rsidRPr="00AF55A3">
        <w:rPr>
          <w:rFonts w:ascii="Times New Roman" w:hAnsi="Times New Roman" w:cs="Times New Roman"/>
          <w:sz w:val="24"/>
          <w:szCs w:val="24"/>
        </w:rPr>
        <w:t xml:space="preserve">.  This study extended the declension narrative by updating Breneman’s study while replicating his “methodology for classifying liberal arts colleges.”  The researchers concluded </w:t>
      </w:r>
      <w:r w:rsidRPr="00AF55A3">
        <w:rPr>
          <w:rFonts w:ascii="Times New Roman" w:hAnsi="Times New Roman" w:cs="Times New Roman"/>
          <w:sz w:val="24"/>
          <w:szCs w:val="24"/>
        </w:rPr>
        <w:lastRenderedPageBreak/>
        <w:t xml:space="preserve">that only 130 liberal arts colleges remain of the 206 that Breneman identified, a finding that </w:t>
      </w:r>
      <w:r w:rsidR="00F4315D" w:rsidRPr="00AF55A3">
        <w:rPr>
          <w:rFonts w:ascii="Times New Roman" w:hAnsi="Times New Roman" w:cs="Times New Roman"/>
          <w:sz w:val="24"/>
          <w:szCs w:val="24"/>
        </w:rPr>
        <w:t xml:space="preserve">differs </w:t>
      </w:r>
      <w:r w:rsidRPr="00AF55A3">
        <w:rPr>
          <w:rFonts w:ascii="Times New Roman" w:hAnsi="Times New Roman" w:cs="Times New Roman"/>
          <w:sz w:val="24"/>
          <w:szCs w:val="24"/>
        </w:rPr>
        <w:t>dramatically from the 209 liberal arts colleges identified one year earlier by Ferrall.</w:t>
      </w:r>
      <w:r w:rsidR="00F4315D" w:rsidRPr="00AF55A3">
        <w:rPr>
          <w:rStyle w:val="FootnoteReference"/>
          <w:rFonts w:cs="Times New Roman"/>
          <w:sz w:val="24"/>
          <w:szCs w:val="24"/>
        </w:rPr>
        <w:footnoteReference w:id="41"/>
      </w:r>
      <w:r w:rsidR="00A04772">
        <w:rPr>
          <w:rFonts w:ascii="Times New Roman" w:hAnsi="Times New Roman" w:cs="Times New Roman"/>
          <w:sz w:val="24"/>
          <w:szCs w:val="24"/>
        </w:rPr>
        <w:t xml:space="preserve"> </w:t>
      </w:r>
      <w:r w:rsidRPr="00AF55A3">
        <w:rPr>
          <w:rFonts w:ascii="Times New Roman" w:hAnsi="Times New Roman" w:cs="Times New Roman"/>
          <w:sz w:val="24"/>
          <w:szCs w:val="24"/>
        </w:rPr>
        <w:t xml:space="preserve">This difference cannot be explained by </w:t>
      </w:r>
      <w:r w:rsidR="000B5688">
        <w:rPr>
          <w:rFonts w:ascii="Times New Roman" w:hAnsi="Times New Roman" w:cs="Times New Roman"/>
          <w:sz w:val="24"/>
          <w:szCs w:val="24"/>
        </w:rPr>
        <w:t xml:space="preserve">the notorious </w:t>
      </w:r>
      <w:r w:rsidR="003033EE">
        <w:rPr>
          <w:rFonts w:ascii="Times New Roman" w:hAnsi="Times New Roman" w:cs="Times New Roman"/>
          <w:sz w:val="24"/>
          <w:szCs w:val="24"/>
        </w:rPr>
        <w:t xml:space="preserve">problem </w:t>
      </w:r>
      <w:r w:rsidR="000B5688">
        <w:rPr>
          <w:rFonts w:ascii="Times New Roman" w:hAnsi="Times New Roman" w:cs="Times New Roman"/>
          <w:sz w:val="24"/>
          <w:szCs w:val="24"/>
        </w:rPr>
        <w:t xml:space="preserve">of </w:t>
      </w:r>
      <w:r w:rsidRPr="00AF55A3">
        <w:rPr>
          <w:rFonts w:ascii="Times New Roman" w:hAnsi="Times New Roman" w:cs="Times New Roman"/>
          <w:sz w:val="24"/>
          <w:szCs w:val="24"/>
        </w:rPr>
        <w:t xml:space="preserve">defining the liberal arts. Breneman in 1988, Ferrall in 2011, and the 2012 </w:t>
      </w:r>
      <w:proofErr w:type="spellStart"/>
      <w:r w:rsidR="003033EE">
        <w:rPr>
          <w:rFonts w:ascii="Times New Roman" w:hAnsi="Times New Roman" w:cs="Times New Roman"/>
          <w:sz w:val="24"/>
          <w:szCs w:val="24"/>
        </w:rPr>
        <w:t>AACU</w:t>
      </w:r>
      <w:proofErr w:type="spellEnd"/>
      <w:r w:rsidR="003033EE">
        <w:rPr>
          <w:rFonts w:ascii="Times New Roman" w:hAnsi="Times New Roman" w:cs="Times New Roman"/>
          <w:sz w:val="24"/>
          <w:szCs w:val="24"/>
        </w:rPr>
        <w:t xml:space="preserve"> </w:t>
      </w:r>
      <w:r w:rsidRPr="00AF55A3">
        <w:rPr>
          <w:rFonts w:ascii="Times New Roman" w:hAnsi="Times New Roman" w:cs="Times New Roman"/>
          <w:sz w:val="24"/>
          <w:szCs w:val="24"/>
        </w:rPr>
        <w:t xml:space="preserve">study all employed closely similar and fairly conservative definitions of liberal arts majors, based on traditional disciplinary fields.  Instead, much of the difference may be explained by the Great Recession, beginning with the stock market crash of 2008.  </w:t>
      </w:r>
    </w:p>
    <w:p w:rsidR="00D339D0" w:rsidRPr="00AF55A3" w:rsidRDefault="00A04772" w:rsidP="00AF1BFD">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D339D0" w:rsidRPr="00AF55A3">
        <w:rPr>
          <w:rFonts w:ascii="Times New Roman" w:hAnsi="Times New Roman" w:cs="Times New Roman"/>
          <w:sz w:val="24"/>
          <w:szCs w:val="24"/>
        </w:rPr>
        <w:t>Ferrall’s study was based on data from the 2007-2008 academic year, just before the onset of the recession.</w:t>
      </w:r>
      <w:r w:rsidR="00D339D0" w:rsidRPr="00AF55A3">
        <w:rPr>
          <w:rStyle w:val="FootnoteReference"/>
          <w:rFonts w:cs="Times New Roman"/>
          <w:sz w:val="24"/>
          <w:szCs w:val="24"/>
        </w:rPr>
        <w:footnoteReference w:id="42"/>
      </w:r>
      <w:r w:rsidR="00D339D0" w:rsidRPr="00AF55A3">
        <w:rPr>
          <w:rFonts w:ascii="Times New Roman" w:hAnsi="Times New Roman" w:cs="Times New Roman"/>
          <w:sz w:val="24"/>
          <w:szCs w:val="24"/>
        </w:rPr>
        <w:t xml:space="preserve">  The 2012 study was based on data from the 2008-2009 academic year, right after the stock market crash.</w:t>
      </w:r>
      <w:r w:rsidR="00D339D0" w:rsidRPr="00AF55A3">
        <w:rPr>
          <w:rStyle w:val="FootnoteReference"/>
          <w:rFonts w:cs="Times New Roman"/>
          <w:sz w:val="24"/>
          <w:szCs w:val="24"/>
        </w:rPr>
        <w:footnoteReference w:id="43"/>
      </w:r>
      <w:r w:rsidR="00D339D0" w:rsidRPr="00AF55A3">
        <w:rPr>
          <w:rFonts w:ascii="Times New Roman" w:hAnsi="Times New Roman" w:cs="Times New Roman"/>
          <w:sz w:val="24"/>
          <w:szCs w:val="24"/>
        </w:rPr>
        <w:t xml:space="preserve">  The best explanation for the precipitous drop in liberal arts majors between 2007-2008 and 2008-2009 appears to be the recession, which, Ferrall predicted, “will accelerate” the movement of “liberal arts colleges...toward vocational courses and majors.”</w:t>
      </w:r>
      <w:r w:rsidR="00D339D0" w:rsidRPr="00AF55A3">
        <w:rPr>
          <w:rStyle w:val="FootnoteReference"/>
          <w:rFonts w:cs="Times New Roman"/>
          <w:sz w:val="24"/>
          <w:szCs w:val="24"/>
        </w:rPr>
        <w:footnoteReference w:id="44"/>
      </w:r>
      <w:r w:rsidR="00D339D0" w:rsidRPr="00AF55A3">
        <w:rPr>
          <w:rFonts w:ascii="Times New Roman" w:hAnsi="Times New Roman" w:cs="Times New Roman"/>
          <w:sz w:val="24"/>
          <w:szCs w:val="24"/>
        </w:rPr>
        <w:t xml:space="preserve">  If this is so, it is also true that liberal arts colleges and majors held fairly steady in the two decades between 1988 and 2008, which means that </w:t>
      </w:r>
      <w:r w:rsidR="00A4639F" w:rsidRPr="00AF55A3">
        <w:rPr>
          <w:rFonts w:ascii="Times New Roman" w:hAnsi="Times New Roman" w:cs="Times New Roman"/>
          <w:sz w:val="24"/>
          <w:szCs w:val="24"/>
        </w:rPr>
        <w:t xml:space="preserve">the understanding of </w:t>
      </w:r>
      <w:r w:rsidR="00D339D0" w:rsidRPr="00AF55A3">
        <w:rPr>
          <w:rFonts w:ascii="Times New Roman" w:hAnsi="Times New Roman" w:cs="Times New Roman"/>
          <w:sz w:val="24"/>
          <w:szCs w:val="24"/>
        </w:rPr>
        <w:t xml:space="preserve">declension </w:t>
      </w:r>
      <w:r w:rsidR="00A4639F" w:rsidRPr="00AF55A3">
        <w:rPr>
          <w:rFonts w:ascii="Times New Roman" w:hAnsi="Times New Roman" w:cs="Times New Roman"/>
          <w:sz w:val="24"/>
          <w:szCs w:val="24"/>
        </w:rPr>
        <w:t xml:space="preserve">must </w:t>
      </w:r>
      <w:r w:rsidR="003033EE">
        <w:rPr>
          <w:rFonts w:ascii="Times New Roman" w:hAnsi="Times New Roman" w:cs="Times New Roman"/>
          <w:sz w:val="24"/>
          <w:szCs w:val="24"/>
        </w:rPr>
        <w:t>be thoroughly revised</w:t>
      </w:r>
      <w:r w:rsidR="00D339D0" w:rsidRPr="00AF55A3">
        <w:rPr>
          <w:rFonts w:ascii="Times New Roman" w:hAnsi="Times New Roman" w:cs="Times New Roman"/>
          <w:sz w:val="24"/>
          <w:szCs w:val="24"/>
        </w:rPr>
        <w:t>.</w:t>
      </w:r>
      <w:r w:rsidR="00B474E9" w:rsidRPr="00AF55A3">
        <w:rPr>
          <w:rStyle w:val="FootnoteReference"/>
          <w:rFonts w:cs="Times New Roman"/>
          <w:sz w:val="24"/>
          <w:szCs w:val="24"/>
        </w:rPr>
        <w:footnoteReference w:id="45"/>
      </w:r>
    </w:p>
    <w:p w:rsidR="00D339D0" w:rsidRPr="00AF55A3" w:rsidRDefault="00D339D0" w:rsidP="00AF1BFD">
      <w:pPr>
        <w:spacing w:line="480" w:lineRule="auto"/>
        <w:jc w:val="left"/>
        <w:rPr>
          <w:rFonts w:ascii="Times New Roman" w:hAnsi="Times New Roman" w:cs="Times New Roman"/>
          <w:sz w:val="24"/>
          <w:szCs w:val="24"/>
        </w:rPr>
      </w:pPr>
    </w:p>
    <w:p w:rsidR="00D339D0" w:rsidRPr="00AF55A3" w:rsidRDefault="00D339D0" w:rsidP="00AF1BFD">
      <w:pPr>
        <w:spacing w:line="480" w:lineRule="auto"/>
        <w:jc w:val="center"/>
        <w:rPr>
          <w:rFonts w:ascii="Times New Roman" w:hAnsi="Times New Roman" w:cs="Times New Roman"/>
          <w:sz w:val="24"/>
          <w:szCs w:val="24"/>
        </w:rPr>
      </w:pPr>
      <w:r w:rsidRPr="00AF55A3">
        <w:rPr>
          <w:rFonts w:ascii="Times New Roman" w:hAnsi="Times New Roman" w:cs="Times New Roman"/>
          <w:sz w:val="24"/>
          <w:szCs w:val="24"/>
        </w:rPr>
        <w:t>II</w:t>
      </w:r>
    </w:p>
    <w:p w:rsidR="00D339D0" w:rsidRPr="00AF55A3" w:rsidRDefault="00D339D0" w:rsidP="00AF1BFD">
      <w:pPr>
        <w:spacing w:line="480" w:lineRule="auto"/>
        <w:rPr>
          <w:rFonts w:ascii="Times New Roman" w:hAnsi="Times New Roman" w:cs="Times New Roman"/>
          <w:sz w:val="24"/>
          <w:szCs w:val="24"/>
        </w:rPr>
      </w:pPr>
    </w:p>
    <w:p w:rsidR="00D339D0" w:rsidRPr="00AF55A3" w:rsidRDefault="00D339D0" w:rsidP="00AF1BFD">
      <w:pPr>
        <w:spacing w:line="480" w:lineRule="auto"/>
        <w:jc w:val="left"/>
        <w:rPr>
          <w:rFonts w:ascii="Times New Roman" w:hAnsi="Times New Roman" w:cs="Times New Roman"/>
          <w:sz w:val="24"/>
          <w:szCs w:val="24"/>
        </w:rPr>
      </w:pPr>
      <w:r w:rsidRPr="00AF55A3">
        <w:rPr>
          <w:rFonts w:ascii="Times New Roman" w:hAnsi="Times New Roman" w:cs="Times New Roman"/>
          <w:sz w:val="24"/>
          <w:szCs w:val="24"/>
        </w:rPr>
        <w:lastRenderedPageBreak/>
        <w:t>The number of liberal arts colleges has dropped over time, but not as presented in the narrative of “downhill all the way” during “this past century”</w:t>
      </w:r>
      <w:r w:rsidRPr="00AF55A3">
        <w:rPr>
          <w:rStyle w:val="FootnoteReference"/>
          <w:rFonts w:cs="Times New Roman"/>
          <w:sz w:val="24"/>
          <w:szCs w:val="24"/>
        </w:rPr>
        <w:footnoteReference w:id="46"/>
      </w:r>
      <w:r w:rsidRPr="00AF55A3">
        <w:rPr>
          <w:rFonts w:ascii="Times New Roman" w:hAnsi="Times New Roman" w:cs="Times New Roman"/>
          <w:sz w:val="24"/>
          <w:szCs w:val="24"/>
        </w:rPr>
        <w:t xml:space="preserve"> due to inability to compete with the research university </w:t>
      </w:r>
      <w:r w:rsidR="00A04772">
        <w:rPr>
          <w:rFonts w:ascii="Times New Roman" w:hAnsi="Times New Roman" w:cs="Times New Roman"/>
          <w:sz w:val="24"/>
          <w:szCs w:val="24"/>
        </w:rPr>
        <w:t xml:space="preserve">or professional studies </w:t>
      </w:r>
      <w:r w:rsidRPr="00AF55A3">
        <w:rPr>
          <w:rFonts w:ascii="Times New Roman" w:hAnsi="Times New Roman" w:cs="Times New Roman"/>
          <w:sz w:val="24"/>
          <w:szCs w:val="24"/>
        </w:rPr>
        <w:t>in the fight for institutional survival.  Instead, it appears that the declension has occurred relatively recently and in discontinuous precipitous episodes during periods of economic stress or upheaval.</w:t>
      </w:r>
    </w:p>
    <w:p w:rsidR="00D339D0" w:rsidRPr="00AF55A3" w:rsidRDefault="00D339D0" w:rsidP="00AF1BFD">
      <w:pPr>
        <w:spacing w:line="480" w:lineRule="auto"/>
        <w:jc w:val="left"/>
        <w:rPr>
          <w:rFonts w:ascii="Times New Roman" w:hAnsi="Times New Roman" w:cs="Times New Roman"/>
          <w:sz w:val="24"/>
          <w:szCs w:val="24"/>
        </w:rPr>
      </w:pPr>
      <w:r w:rsidRPr="00AF55A3">
        <w:rPr>
          <w:rFonts w:ascii="Times New Roman" w:hAnsi="Times New Roman" w:cs="Times New Roman"/>
          <w:sz w:val="24"/>
          <w:szCs w:val="24"/>
        </w:rPr>
        <w:tab/>
        <w:t xml:space="preserve">Near the end of the nineteenth century, the early </w:t>
      </w:r>
      <w:r w:rsidR="003033EE">
        <w:rPr>
          <w:rFonts w:ascii="Times New Roman" w:hAnsi="Times New Roman" w:cs="Times New Roman"/>
          <w:sz w:val="24"/>
          <w:szCs w:val="24"/>
        </w:rPr>
        <w:t>advocates</w:t>
      </w:r>
      <w:r w:rsidRPr="00AF55A3">
        <w:rPr>
          <w:rFonts w:ascii="Times New Roman" w:hAnsi="Times New Roman" w:cs="Times New Roman"/>
          <w:sz w:val="24"/>
          <w:szCs w:val="24"/>
        </w:rPr>
        <w:t xml:space="preserve"> of the research un</w:t>
      </w:r>
      <w:r w:rsidR="00964A6A">
        <w:rPr>
          <w:rFonts w:ascii="Times New Roman" w:hAnsi="Times New Roman" w:cs="Times New Roman"/>
          <w:sz w:val="24"/>
          <w:szCs w:val="24"/>
        </w:rPr>
        <w:t>iversitie</w:t>
      </w:r>
      <w:r w:rsidR="00193854">
        <w:rPr>
          <w:rFonts w:ascii="Times New Roman" w:hAnsi="Times New Roman" w:cs="Times New Roman"/>
          <w:sz w:val="24"/>
          <w:szCs w:val="24"/>
        </w:rPr>
        <w:t xml:space="preserve">s </w:t>
      </w:r>
      <w:r w:rsidR="00964A6A">
        <w:rPr>
          <w:rFonts w:ascii="Times New Roman" w:hAnsi="Times New Roman" w:cs="Times New Roman"/>
          <w:sz w:val="24"/>
          <w:szCs w:val="24"/>
        </w:rPr>
        <w:t xml:space="preserve">announced the demise of </w:t>
      </w:r>
      <w:r w:rsidRPr="00AF55A3">
        <w:rPr>
          <w:rFonts w:ascii="Times New Roman" w:hAnsi="Times New Roman" w:cs="Times New Roman"/>
          <w:sz w:val="24"/>
          <w:szCs w:val="24"/>
        </w:rPr>
        <w:t xml:space="preserve">liberal arts colleges, but </w:t>
      </w:r>
      <w:r w:rsidR="00531511">
        <w:rPr>
          <w:rFonts w:ascii="Times New Roman" w:hAnsi="Times New Roman" w:cs="Times New Roman"/>
          <w:sz w:val="24"/>
          <w:szCs w:val="24"/>
        </w:rPr>
        <w:t xml:space="preserve">the validity of their assessment was undermined by their </w:t>
      </w:r>
      <w:r w:rsidRPr="00AF55A3">
        <w:rPr>
          <w:rFonts w:ascii="Times New Roman" w:hAnsi="Times New Roman" w:cs="Times New Roman"/>
          <w:sz w:val="24"/>
          <w:szCs w:val="24"/>
        </w:rPr>
        <w:t xml:space="preserve">prophetic </w:t>
      </w:r>
      <w:r w:rsidR="00531511">
        <w:rPr>
          <w:rFonts w:ascii="Times New Roman" w:hAnsi="Times New Roman" w:cs="Times New Roman"/>
          <w:sz w:val="24"/>
          <w:szCs w:val="24"/>
        </w:rPr>
        <w:t xml:space="preserve">zeal </w:t>
      </w:r>
      <w:r w:rsidRPr="00AF55A3">
        <w:rPr>
          <w:rFonts w:ascii="Times New Roman" w:hAnsi="Times New Roman" w:cs="Times New Roman"/>
          <w:sz w:val="24"/>
          <w:szCs w:val="24"/>
        </w:rPr>
        <w:t xml:space="preserve">and defensive </w:t>
      </w:r>
      <w:r w:rsidR="00531511">
        <w:rPr>
          <w:rFonts w:ascii="Times New Roman" w:hAnsi="Times New Roman" w:cs="Times New Roman"/>
          <w:sz w:val="24"/>
          <w:szCs w:val="24"/>
        </w:rPr>
        <w:t>concerns for patronage</w:t>
      </w:r>
      <w:r w:rsidRPr="00AF55A3">
        <w:rPr>
          <w:rFonts w:ascii="Times New Roman" w:hAnsi="Times New Roman" w:cs="Times New Roman"/>
          <w:sz w:val="24"/>
          <w:szCs w:val="24"/>
        </w:rPr>
        <w:t>.  In the 1910s and 1920s a strong reaction of  “liberal culture” pushed back against the research universities. At that time, many l</w:t>
      </w:r>
      <w:r w:rsidR="003033EE">
        <w:rPr>
          <w:rFonts w:ascii="Times New Roman" w:hAnsi="Times New Roman" w:cs="Times New Roman"/>
          <w:sz w:val="24"/>
          <w:szCs w:val="24"/>
        </w:rPr>
        <w:t xml:space="preserve">iberal arts colleges </w:t>
      </w:r>
      <w:r w:rsidRPr="00AF55A3">
        <w:rPr>
          <w:rFonts w:ascii="Times New Roman" w:hAnsi="Times New Roman" w:cs="Times New Roman"/>
          <w:sz w:val="24"/>
          <w:szCs w:val="24"/>
        </w:rPr>
        <w:t xml:space="preserve">still perceived themselves as “the heart of the American system of higher education,” in the words of Richardson.  During the 1930s and 1940s, the Depression, World War II, and the return of the </w:t>
      </w:r>
      <w:proofErr w:type="spellStart"/>
      <w:r w:rsidRPr="00AF55A3">
        <w:rPr>
          <w:rFonts w:ascii="Times New Roman" w:hAnsi="Times New Roman" w:cs="Times New Roman"/>
          <w:sz w:val="24"/>
          <w:szCs w:val="24"/>
        </w:rPr>
        <w:t>G.I.s</w:t>
      </w:r>
      <w:proofErr w:type="spellEnd"/>
      <w:r w:rsidRPr="00AF55A3">
        <w:rPr>
          <w:rFonts w:ascii="Times New Roman" w:hAnsi="Times New Roman" w:cs="Times New Roman"/>
          <w:sz w:val="24"/>
          <w:szCs w:val="24"/>
        </w:rPr>
        <w:t xml:space="preserve"> likely drew liberal arts students and colleges toward vocational fields.  Thus, one study in the declension literature </w:t>
      </w:r>
      <w:r w:rsidR="00A04772">
        <w:rPr>
          <w:rFonts w:ascii="Times New Roman" w:hAnsi="Times New Roman" w:cs="Times New Roman"/>
          <w:sz w:val="24"/>
          <w:szCs w:val="24"/>
        </w:rPr>
        <w:t>found</w:t>
      </w:r>
      <w:r w:rsidRPr="00AF55A3">
        <w:rPr>
          <w:rFonts w:ascii="Times New Roman" w:hAnsi="Times New Roman" w:cs="Times New Roman"/>
          <w:sz w:val="24"/>
          <w:szCs w:val="24"/>
        </w:rPr>
        <w:t xml:space="preserve"> that by 1956, some 164 of the 540 liberal arts colleges that Breneman later examined had already lost </w:t>
      </w:r>
      <w:r w:rsidR="00A04772">
        <w:rPr>
          <w:rFonts w:ascii="Times New Roman" w:hAnsi="Times New Roman" w:cs="Times New Roman"/>
          <w:sz w:val="24"/>
          <w:szCs w:val="24"/>
        </w:rPr>
        <w:t xml:space="preserve">that </w:t>
      </w:r>
      <w:r w:rsidRPr="00AF55A3">
        <w:rPr>
          <w:rFonts w:ascii="Times New Roman" w:hAnsi="Times New Roman" w:cs="Times New Roman"/>
          <w:sz w:val="24"/>
          <w:szCs w:val="24"/>
        </w:rPr>
        <w:t>status, according to his definition.</w:t>
      </w:r>
      <w:r w:rsidRPr="00AF55A3">
        <w:rPr>
          <w:rStyle w:val="FootnoteReference"/>
          <w:rFonts w:cs="Times New Roman"/>
          <w:sz w:val="24"/>
          <w:szCs w:val="24"/>
        </w:rPr>
        <w:footnoteReference w:id="47"/>
      </w:r>
      <w:r w:rsidRPr="00AF55A3">
        <w:rPr>
          <w:rFonts w:ascii="Times New Roman" w:hAnsi="Times New Roman" w:cs="Times New Roman"/>
          <w:sz w:val="24"/>
          <w:szCs w:val="24"/>
        </w:rPr>
        <w:t xml:space="preserve">  </w:t>
      </w:r>
    </w:p>
    <w:p w:rsidR="00D339D0" w:rsidRPr="00AF55A3" w:rsidRDefault="00D339D0" w:rsidP="00AF1BFD">
      <w:pPr>
        <w:spacing w:line="480" w:lineRule="auto"/>
        <w:jc w:val="left"/>
        <w:rPr>
          <w:rFonts w:ascii="Times New Roman" w:hAnsi="Times New Roman" w:cs="Times New Roman"/>
          <w:sz w:val="24"/>
          <w:szCs w:val="24"/>
        </w:rPr>
      </w:pPr>
      <w:r w:rsidRPr="00AF55A3">
        <w:rPr>
          <w:rFonts w:ascii="Times New Roman" w:hAnsi="Times New Roman" w:cs="Times New Roman"/>
          <w:sz w:val="24"/>
          <w:szCs w:val="24"/>
        </w:rPr>
        <w:tab/>
        <w:t xml:space="preserve">In the 1970s and 1980s, liberal arts colleges again faced economic stress and upheaval. During the mid-1970s, there was double-digit inflation and high unemployment, and in the recovery between 1979 and 1986, college graduates earned a historically high wage premium over high school graduates.  As a result, students went to college to acquire job skills throughout the period that Breneman studied from 1972 to 1988.  In addition, during the 1970s and 1980s, the vast number of new students entering higher education were “non-traditional”--older, </w:t>
      </w:r>
      <w:r w:rsidRPr="00AF55A3">
        <w:rPr>
          <w:rFonts w:ascii="Times New Roman" w:hAnsi="Times New Roman" w:cs="Times New Roman"/>
          <w:sz w:val="24"/>
          <w:szCs w:val="24"/>
        </w:rPr>
        <w:lastRenderedPageBreak/>
        <w:t>working, married, part-time, and working-class.</w:t>
      </w:r>
      <w:r w:rsidRPr="00AF55A3">
        <w:rPr>
          <w:rStyle w:val="FootnoteReference"/>
          <w:rFonts w:cs="Times New Roman"/>
          <w:sz w:val="24"/>
          <w:szCs w:val="24"/>
        </w:rPr>
        <w:footnoteReference w:id="48"/>
      </w:r>
      <w:r w:rsidRPr="00AF55A3">
        <w:rPr>
          <w:rFonts w:ascii="Times New Roman" w:hAnsi="Times New Roman" w:cs="Times New Roman"/>
          <w:sz w:val="24"/>
          <w:szCs w:val="24"/>
        </w:rPr>
        <w:t xml:space="preserve">  These two factors explain why, between</w:t>
      </w:r>
      <w:r w:rsidR="00A04772">
        <w:rPr>
          <w:rFonts w:ascii="Times New Roman" w:hAnsi="Times New Roman" w:cs="Times New Roman"/>
          <w:sz w:val="24"/>
          <w:szCs w:val="24"/>
        </w:rPr>
        <w:t xml:space="preserve"> </w:t>
      </w:r>
      <w:r w:rsidRPr="00AF55A3">
        <w:rPr>
          <w:rFonts w:ascii="Times New Roman" w:hAnsi="Times New Roman" w:cs="Times New Roman"/>
          <w:sz w:val="24"/>
          <w:szCs w:val="24"/>
        </w:rPr>
        <w:t xml:space="preserve">1972 </w:t>
      </w:r>
      <w:r w:rsidR="00A04772">
        <w:rPr>
          <w:rFonts w:ascii="Times New Roman" w:hAnsi="Times New Roman" w:cs="Times New Roman"/>
          <w:sz w:val="24"/>
          <w:szCs w:val="24"/>
        </w:rPr>
        <w:t>and</w:t>
      </w:r>
      <w:r w:rsidRPr="00AF55A3">
        <w:rPr>
          <w:rFonts w:ascii="Times New Roman" w:hAnsi="Times New Roman" w:cs="Times New Roman"/>
          <w:sz w:val="24"/>
          <w:szCs w:val="24"/>
        </w:rPr>
        <w:t xml:space="preserve"> 1988, the proportion of new college students seeking primarily to become “very well-off financially” rose from about 40 percent to 74 percent, and those seeking primarily “a meaningful philosophy of life” moved inversely from about 74 percent to 46 percent.</w:t>
      </w:r>
      <w:r w:rsidRPr="00AF55A3">
        <w:rPr>
          <w:rStyle w:val="FootnoteReference"/>
          <w:rFonts w:cs="Times New Roman"/>
          <w:sz w:val="24"/>
          <w:szCs w:val="24"/>
        </w:rPr>
        <w:footnoteReference w:id="49"/>
      </w:r>
      <w:r w:rsidRPr="00AF55A3">
        <w:rPr>
          <w:rFonts w:ascii="Times New Roman" w:hAnsi="Times New Roman" w:cs="Times New Roman"/>
          <w:sz w:val="24"/>
          <w:szCs w:val="24"/>
        </w:rPr>
        <w:t xml:space="preserve">  Due to the economic stress and upheaval, as well as the massive influx of non-traditional students, both the absolute number and the proportion of liberal arts colleges in higher education decreased. </w:t>
      </w:r>
    </w:p>
    <w:p w:rsidR="00D339D0" w:rsidRPr="00AF55A3" w:rsidRDefault="00D339D0" w:rsidP="00AF1BFD">
      <w:pPr>
        <w:spacing w:line="480" w:lineRule="auto"/>
        <w:jc w:val="left"/>
        <w:rPr>
          <w:rFonts w:ascii="Times New Roman" w:hAnsi="Times New Roman" w:cs="Times New Roman"/>
          <w:sz w:val="24"/>
          <w:szCs w:val="24"/>
        </w:rPr>
      </w:pPr>
      <w:r w:rsidRPr="00AF55A3">
        <w:rPr>
          <w:rFonts w:ascii="Times New Roman" w:hAnsi="Times New Roman" w:cs="Times New Roman"/>
          <w:sz w:val="24"/>
          <w:szCs w:val="24"/>
        </w:rPr>
        <w:tab/>
        <w:t>Nevertheless, Breneman’s findings about this extraordinary period were subsequently assimilated into the declension narrative of liberal arts colleges as evidence of the perpetual decline.  Meanwhile, during the prosperous 1990s and early 2000s, no study apparently presented comprehensive data indicating a decrease in the number of liberal arts colleges.  In fact, it has been shown that “a modest but continuing increase in the percentage of degrees in the liberal arts” began to occur in the late 1980s.</w:t>
      </w:r>
      <w:r w:rsidRPr="00AF55A3">
        <w:rPr>
          <w:rStyle w:val="FootnoteReference"/>
          <w:rFonts w:cs="Times New Roman"/>
          <w:sz w:val="24"/>
          <w:szCs w:val="24"/>
        </w:rPr>
        <w:footnoteReference w:id="50"/>
      </w:r>
      <w:r w:rsidRPr="00AF55A3">
        <w:rPr>
          <w:rFonts w:ascii="Times New Roman" w:hAnsi="Times New Roman" w:cs="Times New Roman"/>
          <w:sz w:val="24"/>
          <w:szCs w:val="24"/>
        </w:rPr>
        <w:t xml:space="preserve">  Then, an economic shock occurred in 2008-2009 when the Great Recession began, and another decline ensued.</w:t>
      </w:r>
    </w:p>
    <w:p w:rsidR="00D339D0" w:rsidRPr="00AF55A3" w:rsidRDefault="00D339D0" w:rsidP="00AF1BFD">
      <w:pPr>
        <w:spacing w:line="480" w:lineRule="auto"/>
        <w:jc w:val="left"/>
        <w:rPr>
          <w:rFonts w:ascii="Times New Roman" w:hAnsi="Times New Roman" w:cs="Times New Roman"/>
          <w:sz w:val="24"/>
          <w:szCs w:val="24"/>
        </w:rPr>
      </w:pPr>
      <w:r w:rsidRPr="00AF55A3">
        <w:rPr>
          <w:rFonts w:ascii="Times New Roman" w:hAnsi="Times New Roman" w:cs="Times New Roman"/>
          <w:sz w:val="24"/>
          <w:szCs w:val="24"/>
        </w:rPr>
        <w:tab/>
        <w:t>If all this is roughly accurate, then the so-called declension of the liberal arts college has not been a Darwinian process of extinction.  It has not been a continu</w:t>
      </w:r>
      <w:r w:rsidR="003033EE">
        <w:rPr>
          <w:rFonts w:ascii="Times New Roman" w:hAnsi="Times New Roman" w:cs="Times New Roman"/>
          <w:sz w:val="24"/>
          <w:szCs w:val="24"/>
        </w:rPr>
        <w:t>ous</w:t>
      </w:r>
      <w:r w:rsidRPr="00AF55A3">
        <w:rPr>
          <w:rFonts w:ascii="Times New Roman" w:hAnsi="Times New Roman" w:cs="Times New Roman"/>
          <w:sz w:val="24"/>
          <w:szCs w:val="24"/>
        </w:rPr>
        <w:t xml:space="preserve"> inexorable decl</w:t>
      </w:r>
      <w:r w:rsidR="003033EE">
        <w:rPr>
          <w:rFonts w:ascii="Times New Roman" w:hAnsi="Times New Roman" w:cs="Times New Roman"/>
          <w:sz w:val="24"/>
          <w:szCs w:val="24"/>
        </w:rPr>
        <w:t>ine</w:t>
      </w:r>
      <w:r w:rsidRPr="00AF55A3">
        <w:rPr>
          <w:rFonts w:ascii="Times New Roman" w:hAnsi="Times New Roman" w:cs="Times New Roman"/>
          <w:sz w:val="24"/>
          <w:szCs w:val="24"/>
        </w:rPr>
        <w:t xml:space="preserve"> whereby each year ten or twenty </w:t>
      </w:r>
      <w:r w:rsidR="003033EE">
        <w:rPr>
          <w:rFonts w:ascii="Times New Roman" w:hAnsi="Times New Roman" w:cs="Times New Roman"/>
          <w:sz w:val="24"/>
          <w:szCs w:val="24"/>
        </w:rPr>
        <w:t>liberal arts colleges go</w:t>
      </w:r>
      <w:r w:rsidRPr="00AF55A3">
        <w:rPr>
          <w:rFonts w:ascii="Times New Roman" w:hAnsi="Times New Roman" w:cs="Times New Roman"/>
          <w:sz w:val="24"/>
          <w:szCs w:val="24"/>
        </w:rPr>
        <w:t xml:space="preserve"> “over the brink,” unable to conform to or </w:t>
      </w:r>
      <w:r w:rsidRPr="00AF55A3">
        <w:rPr>
          <w:rFonts w:ascii="Times New Roman" w:hAnsi="Times New Roman" w:cs="Times New Roman"/>
          <w:sz w:val="24"/>
          <w:szCs w:val="24"/>
        </w:rPr>
        <w:lastRenderedPageBreak/>
        <w:t xml:space="preserve">compete with university mores </w:t>
      </w:r>
      <w:r w:rsidR="00B47725">
        <w:rPr>
          <w:rFonts w:ascii="Times New Roman" w:hAnsi="Times New Roman" w:cs="Times New Roman"/>
          <w:sz w:val="24"/>
          <w:szCs w:val="24"/>
        </w:rPr>
        <w:t>or</w:t>
      </w:r>
      <w:r w:rsidRPr="00AF55A3">
        <w:rPr>
          <w:rFonts w:ascii="Times New Roman" w:hAnsi="Times New Roman" w:cs="Times New Roman"/>
          <w:sz w:val="24"/>
          <w:szCs w:val="24"/>
        </w:rPr>
        <w:t xml:space="preserve"> professional studies, which draw students from the liberal arts.  Rather, the declension has occurred more recently than is commonly supposed, and in discrete precipitous episodes during periods of economic stress or upheaval.  Between such episodes, the liberal arts colleges held their own.  After such episodes--and this is a critical point--the lost colleges never recovered.  So the overall number kept falling.</w:t>
      </w:r>
    </w:p>
    <w:p w:rsidR="00DC096C" w:rsidRPr="00AF55A3" w:rsidRDefault="00D339D0" w:rsidP="00AF1BFD">
      <w:pPr>
        <w:spacing w:line="480" w:lineRule="auto"/>
        <w:jc w:val="left"/>
        <w:rPr>
          <w:rFonts w:ascii="Times New Roman" w:hAnsi="Times New Roman" w:cs="Times New Roman"/>
          <w:sz w:val="24"/>
          <w:szCs w:val="24"/>
        </w:rPr>
      </w:pPr>
      <w:r w:rsidRPr="00AF55A3">
        <w:rPr>
          <w:rFonts w:ascii="Times New Roman" w:hAnsi="Times New Roman" w:cs="Times New Roman"/>
          <w:sz w:val="24"/>
          <w:szCs w:val="24"/>
        </w:rPr>
        <w:tab/>
        <w:t xml:space="preserve">Another critical point is that the declension narrative has obscured the actual pattern and process of decrease.  On the one hand, the narrative obscures by presuming a continuous </w:t>
      </w:r>
      <w:r w:rsidR="003033EE">
        <w:rPr>
          <w:rFonts w:ascii="Times New Roman" w:hAnsi="Times New Roman" w:cs="Times New Roman"/>
          <w:sz w:val="24"/>
          <w:szCs w:val="24"/>
        </w:rPr>
        <w:t xml:space="preserve">inexorable decline over </w:t>
      </w:r>
      <w:r w:rsidRPr="00AF55A3">
        <w:rPr>
          <w:rFonts w:ascii="Times New Roman" w:hAnsi="Times New Roman" w:cs="Times New Roman"/>
          <w:sz w:val="24"/>
          <w:szCs w:val="24"/>
        </w:rPr>
        <w:t>125.  On the other hand, the narrative obscures by implicitly equating liberal arts education and the liberal arts college.  This latter point requires further explanation.</w:t>
      </w:r>
    </w:p>
    <w:p w:rsidR="00D339D0" w:rsidRPr="00AF55A3" w:rsidRDefault="00D339D0" w:rsidP="00AF1BFD">
      <w:pPr>
        <w:spacing w:line="480" w:lineRule="auto"/>
        <w:jc w:val="left"/>
        <w:rPr>
          <w:rFonts w:ascii="Times New Roman" w:hAnsi="Times New Roman" w:cs="Times New Roman"/>
          <w:sz w:val="24"/>
          <w:szCs w:val="24"/>
        </w:rPr>
      </w:pPr>
      <w:r w:rsidRPr="00AF55A3">
        <w:rPr>
          <w:rFonts w:ascii="Times New Roman" w:hAnsi="Times New Roman" w:cs="Times New Roman"/>
          <w:sz w:val="24"/>
          <w:szCs w:val="24"/>
        </w:rPr>
        <w:tab/>
        <w:t xml:space="preserve">The declension literature </w:t>
      </w:r>
      <w:r w:rsidR="000B5688">
        <w:rPr>
          <w:rFonts w:ascii="Times New Roman" w:hAnsi="Times New Roman" w:cs="Times New Roman"/>
          <w:sz w:val="24"/>
          <w:szCs w:val="24"/>
        </w:rPr>
        <w:t xml:space="preserve">generally </w:t>
      </w:r>
      <w:r w:rsidRPr="00AF55A3">
        <w:rPr>
          <w:rFonts w:ascii="Times New Roman" w:hAnsi="Times New Roman" w:cs="Times New Roman"/>
          <w:sz w:val="24"/>
          <w:szCs w:val="24"/>
        </w:rPr>
        <w:t>assume</w:t>
      </w:r>
      <w:r w:rsidR="000B5688">
        <w:rPr>
          <w:rFonts w:ascii="Times New Roman" w:hAnsi="Times New Roman" w:cs="Times New Roman"/>
          <w:sz w:val="24"/>
          <w:szCs w:val="24"/>
        </w:rPr>
        <w:t>s</w:t>
      </w:r>
      <w:r w:rsidRPr="00AF55A3">
        <w:rPr>
          <w:rFonts w:ascii="Times New Roman" w:hAnsi="Times New Roman" w:cs="Times New Roman"/>
          <w:sz w:val="24"/>
          <w:szCs w:val="24"/>
        </w:rPr>
        <w:t xml:space="preserve"> that liberal arts education occurs only or best in a liberal arts college, especially a private liberal arts college.  As a corollary, the narrative also assumes that liberal arts students are enrolled only at liberal arts colleges, not elsewhere.  These two assumptions are often denied or qualified, out of desire not to appear invidious.</w:t>
      </w:r>
      <w:r w:rsidRPr="00AF55A3">
        <w:rPr>
          <w:rStyle w:val="FootnoteReference"/>
          <w:rFonts w:cs="Times New Roman"/>
          <w:sz w:val="24"/>
          <w:szCs w:val="24"/>
        </w:rPr>
        <w:footnoteReference w:id="51"/>
      </w:r>
      <w:r w:rsidRPr="00AF55A3">
        <w:rPr>
          <w:rFonts w:ascii="Times New Roman" w:hAnsi="Times New Roman" w:cs="Times New Roman"/>
          <w:sz w:val="24"/>
          <w:szCs w:val="24"/>
        </w:rPr>
        <w:t xml:space="preserve"> Nevertheless, most laments about the decline of liberal arts colleges implicitly shift into laments about the decline of liberal arts education in general.  </w:t>
      </w:r>
    </w:p>
    <w:p w:rsidR="00D339D0" w:rsidRPr="00AF55A3" w:rsidRDefault="00D339D0" w:rsidP="00AF1BFD">
      <w:pPr>
        <w:spacing w:line="480" w:lineRule="auto"/>
        <w:jc w:val="left"/>
        <w:rPr>
          <w:rFonts w:ascii="Times New Roman" w:hAnsi="Times New Roman" w:cs="Times New Roman"/>
          <w:sz w:val="24"/>
          <w:szCs w:val="24"/>
        </w:rPr>
      </w:pPr>
      <w:r w:rsidRPr="00AF55A3">
        <w:rPr>
          <w:rFonts w:ascii="Times New Roman" w:hAnsi="Times New Roman" w:cs="Times New Roman"/>
          <w:sz w:val="24"/>
          <w:szCs w:val="24"/>
        </w:rPr>
        <w:tab/>
        <w:t xml:space="preserve">For example, Ferrall studied </w:t>
      </w:r>
      <w:r w:rsidR="000B5688">
        <w:rPr>
          <w:rFonts w:ascii="Times New Roman" w:hAnsi="Times New Roman" w:cs="Times New Roman"/>
          <w:sz w:val="24"/>
          <w:szCs w:val="24"/>
        </w:rPr>
        <w:t xml:space="preserve">the </w:t>
      </w:r>
      <w:r w:rsidRPr="00AF55A3">
        <w:rPr>
          <w:rFonts w:ascii="Times New Roman" w:hAnsi="Times New Roman" w:cs="Times New Roman"/>
          <w:sz w:val="24"/>
          <w:szCs w:val="24"/>
        </w:rPr>
        <w:t xml:space="preserve">private liberal arts college, but he titled his book </w:t>
      </w:r>
      <w:r w:rsidRPr="00AF55A3">
        <w:rPr>
          <w:rFonts w:ascii="Times New Roman" w:hAnsi="Times New Roman" w:cs="Times New Roman"/>
          <w:i/>
          <w:sz w:val="24"/>
          <w:szCs w:val="24"/>
        </w:rPr>
        <w:t>Liberal Arts at the Brink</w:t>
      </w:r>
      <w:r w:rsidRPr="00AF55A3">
        <w:rPr>
          <w:rFonts w:ascii="Times New Roman" w:hAnsi="Times New Roman" w:cs="Times New Roman"/>
          <w:sz w:val="24"/>
          <w:szCs w:val="24"/>
        </w:rPr>
        <w:t>, and he meant it.</w:t>
      </w:r>
      <w:r w:rsidRPr="00AF55A3">
        <w:rPr>
          <w:rStyle w:val="FootnoteReference"/>
          <w:rFonts w:cs="Times New Roman"/>
          <w:sz w:val="24"/>
          <w:szCs w:val="24"/>
        </w:rPr>
        <w:footnoteReference w:id="52"/>
      </w:r>
      <w:r w:rsidRPr="00AF55A3">
        <w:rPr>
          <w:rFonts w:ascii="Times New Roman" w:hAnsi="Times New Roman" w:cs="Times New Roman"/>
          <w:sz w:val="24"/>
          <w:szCs w:val="24"/>
        </w:rPr>
        <w:t xml:space="preserve"> Similarly, the economist presidents McPherson and Schapiro state that the “fundamental problem” of liberal arts colleges “is the lack of a customer base that </w:t>
      </w:r>
      <w:r w:rsidRPr="00AF55A3">
        <w:rPr>
          <w:rFonts w:ascii="Times New Roman" w:hAnsi="Times New Roman" w:cs="Times New Roman"/>
          <w:sz w:val="24"/>
          <w:szCs w:val="24"/>
        </w:rPr>
        <w:lastRenderedPageBreak/>
        <w:t>is willing and able to cover the costs.”  But, a few lines later, they conclude that the “underlying problem [is] that many [students] are less interested...than they used to be.”</w:t>
      </w:r>
      <w:r w:rsidRPr="00AF55A3">
        <w:rPr>
          <w:rStyle w:val="FootnoteReference"/>
          <w:rFonts w:cs="Times New Roman"/>
          <w:sz w:val="24"/>
          <w:szCs w:val="24"/>
        </w:rPr>
        <w:footnoteReference w:id="53"/>
      </w:r>
      <w:r w:rsidRPr="00AF55A3">
        <w:rPr>
          <w:rFonts w:ascii="Times New Roman" w:hAnsi="Times New Roman" w:cs="Times New Roman"/>
          <w:sz w:val="24"/>
          <w:szCs w:val="24"/>
        </w:rPr>
        <w:t xml:space="preserve"> Through such language, the declension problem subtly shifts from students unwillingness to pay for a liberal arts colleges, to students losing interest in the liberal arts.  If students choose not to attend a liberal arts college, they lack interest in the liberal arts. Furthermore, the decreasing enrollment in liberal arts colleges means that the number of liberal arts students is decreasing, and the decline of liberal arts colleges means the decline of liberal arts education.</w:t>
      </w:r>
    </w:p>
    <w:p w:rsidR="00D339D0" w:rsidRPr="00AF55A3" w:rsidRDefault="00D339D0" w:rsidP="00AF1BFD">
      <w:pPr>
        <w:spacing w:line="480" w:lineRule="auto"/>
        <w:jc w:val="left"/>
        <w:rPr>
          <w:rFonts w:ascii="Times New Roman" w:hAnsi="Times New Roman" w:cs="Times New Roman"/>
          <w:sz w:val="24"/>
          <w:szCs w:val="24"/>
        </w:rPr>
      </w:pPr>
      <w:r w:rsidRPr="00AF55A3">
        <w:rPr>
          <w:rFonts w:ascii="Times New Roman" w:hAnsi="Times New Roman" w:cs="Times New Roman"/>
          <w:sz w:val="24"/>
          <w:szCs w:val="24"/>
        </w:rPr>
        <w:tab/>
        <w:t xml:space="preserve">This implicit equating of liberal arts education with the liberal arts college in the declension narrative obscures the actual pattern of decline in two paradoxical ways.  On the one hand, the declension narrative inflates the potential </w:t>
      </w:r>
      <w:r w:rsidR="000B5688">
        <w:rPr>
          <w:rFonts w:ascii="Times New Roman" w:hAnsi="Times New Roman" w:cs="Times New Roman"/>
          <w:sz w:val="24"/>
          <w:szCs w:val="24"/>
        </w:rPr>
        <w:t xml:space="preserve">enrollment </w:t>
      </w:r>
      <w:r w:rsidRPr="00AF55A3">
        <w:rPr>
          <w:rFonts w:ascii="Times New Roman" w:hAnsi="Times New Roman" w:cs="Times New Roman"/>
          <w:sz w:val="24"/>
          <w:szCs w:val="24"/>
        </w:rPr>
        <w:t xml:space="preserve">of liberal arts </w:t>
      </w:r>
      <w:r w:rsidR="000B5688">
        <w:rPr>
          <w:rFonts w:ascii="Times New Roman" w:hAnsi="Times New Roman" w:cs="Times New Roman"/>
          <w:sz w:val="24"/>
          <w:szCs w:val="24"/>
        </w:rPr>
        <w:t>colleges</w:t>
      </w:r>
      <w:r w:rsidRPr="00AF55A3">
        <w:rPr>
          <w:rFonts w:ascii="Times New Roman" w:hAnsi="Times New Roman" w:cs="Times New Roman"/>
          <w:sz w:val="24"/>
          <w:szCs w:val="24"/>
        </w:rPr>
        <w:t>; on the other hand, it undercounts the actual population of liberal arts students.</w:t>
      </w:r>
      <w:r w:rsidR="000B5688">
        <w:rPr>
          <w:rFonts w:ascii="Times New Roman" w:hAnsi="Times New Roman" w:cs="Times New Roman"/>
          <w:sz w:val="24"/>
          <w:szCs w:val="24"/>
        </w:rPr>
        <w:t xml:space="preserve">  Taken together, these two points serve to magnify the crisis.</w:t>
      </w:r>
    </w:p>
    <w:p w:rsidR="00D339D0" w:rsidRPr="00AF55A3" w:rsidRDefault="00D339D0" w:rsidP="00AF1BFD">
      <w:pPr>
        <w:spacing w:line="480" w:lineRule="auto"/>
        <w:jc w:val="left"/>
        <w:rPr>
          <w:rFonts w:ascii="Times New Roman" w:hAnsi="Times New Roman" w:cs="Times New Roman"/>
          <w:sz w:val="24"/>
          <w:szCs w:val="24"/>
        </w:rPr>
      </w:pPr>
      <w:r w:rsidRPr="00AF55A3">
        <w:rPr>
          <w:rFonts w:ascii="Times New Roman" w:hAnsi="Times New Roman" w:cs="Times New Roman"/>
          <w:sz w:val="24"/>
          <w:szCs w:val="24"/>
        </w:rPr>
        <w:tab/>
        <w:t xml:space="preserve">Inflating the potential </w:t>
      </w:r>
      <w:r w:rsidR="000B5688">
        <w:rPr>
          <w:rFonts w:ascii="Times New Roman" w:hAnsi="Times New Roman" w:cs="Times New Roman"/>
          <w:sz w:val="24"/>
          <w:szCs w:val="24"/>
        </w:rPr>
        <w:t xml:space="preserve">enrollment </w:t>
      </w:r>
      <w:r w:rsidRPr="00AF55A3">
        <w:rPr>
          <w:rFonts w:ascii="Times New Roman" w:hAnsi="Times New Roman" w:cs="Times New Roman"/>
          <w:sz w:val="24"/>
          <w:szCs w:val="24"/>
        </w:rPr>
        <w:t xml:space="preserve">of liberal arts </w:t>
      </w:r>
      <w:r w:rsidR="000B5688">
        <w:rPr>
          <w:rFonts w:ascii="Times New Roman" w:hAnsi="Times New Roman" w:cs="Times New Roman"/>
          <w:sz w:val="24"/>
          <w:szCs w:val="24"/>
        </w:rPr>
        <w:t>colleges</w:t>
      </w:r>
      <w:r w:rsidRPr="00AF55A3">
        <w:rPr>
          <w:rFonts w:ascii="Times New Roman" w:hAnsi="Times New Roman" w:cs="Times New Roman"/>
          <w:sz w:val="24"/>
          <w:szCs w:val="24"/>
        </w:rPr>
        <w:t xml:space="preserve"> appears in the lament, discussed above, that </w:t>
      </w:r>
      <w:r w:rsidR="000B5688">
        <w:rPr>
          <w:rFonts w:ascii="Times New Roman" w:hAnsi="Times New Roman" w:cs="Times New Roman"/>
          <w:sz w:val="24"/>
          <w:szCs w:val="24"/>
        </w:rPr>
        <w:t xml:space="preserve">these </w:t>
      </w:r>
      <w:r w:rsidRPr="00AF55A3">
        <w:rPr>
          <w:rFonts w:ascii="Times New Roman" w:hAnsi="Times New Roman" w:cs="Times New Roman"/>
          <w:sz w:val="24"/>
          <w:szCs w:val="24"/>
        </w:rPr>
        <w:t>colleges have become “a much diminished part” of higher education.</w:t>
      </w:r>
      <w:r w:rsidRPr="00AF55A3">
        <w:rPr>
          <w:rStyle w:val="FootnoteReference"/>
          <w:rFonts w:cs="Times New Roman"/>
          <w:sz w:val="24"/>
          <w:szCs w:val="24"/>
        </w:rPr>
        <w:footnoteReference w:id="54"/>
      </w:r>
      <w:r w:rsidRPr="00AF55A3">
        <w:rPr>
          <w:rFonts w:ascii="Times New Roman" w:hAnsi="Times New Roman" w:cs="Times New Roman"/>
          <w:sz w:val="24"/>
          <w:szCs w:val="24"/>
        </w:rPr>
        <w:t xml:space="preserve"> This lament about diminishing proportion assumes that liberal arts students--and therefore the enrollment in liberal arts colleges--should maintain their same proportion of the total enro</w:t>
      </w:r>
      <w:r w:rsidR="008B4D7D">
        <w:rPr>
          <w:rFonts w:ascii="Times New Roman" w:hAnsi="Times New Roman" w:cs="Times New Roman"/>
          <w:sz w:val="24"/>
          <w:szCs w:val="24"/>
        </w:rPr>
        <w:t>llment in higher education.  Yet, between 1939 and 2009</w:t>
      </w:r>
      <w:r w:rsidRPr="00AF55A3">
        <w:rPr>
          <w:rFonts w:ascii="Times New Roman" w:hAnsi="Times New Roman" w:cs="Times New Roman"/>
          <w:sz w:val="24"/>
          <w:szCs w:val="24"/>
        </w:rPr>
        <w:t xml:space="preserve"> the fraction of the United States population attending higher education grew </w:t>
      </w:r>
      <w:r w:rsidR="008B4D7D">
        <w:rPr>
          <w:rFonts w:ascii="Times New Roman" w:hAnsi="Times New Roman" w:cs="Times New Roman"/>
          <w:sz w:val="24"/>
          <w:szCs w:val="24"/>
        </w:rPr>
        <w:t xml:space="preserve">almost six times, </w:t>
      </w:r>
      <w:r w:rsidRPr="00AF55A3">
        <w:rPr>
          <w:rFonts w:ascii="Times New Roman" w:hAnsi="Times New Roman" w:cs="Times New Roman"/>
          <w:sz w:val="24"/>
          <w:szCs w:val="24"/>
        </w:rPr>
        <w:t>from 1.1 percent to 6.4 percent.</w:t>
      </w:r>
      <w:r w:rsidRPr="00AF55A3">
        <w:rPr>
          <w:rStyle w:val="FootnoteReference"/>
          <w:rFonts w:cs="Times New Roman"/>
          <w:sz w:val="24"/>
          <w:szCs w:val="24"/>
        </w:rPr>
        <w:footnoteReference w:id="55"/>
      </w:r>
      <w:r w:rsidRPr="00AF55A3">
        <w:rPr>
          <w:rFonts w:ascii="Times New Roman" w:hAnsi="Times New Roman" w:cs="Times New Roman"/>
          <w:sz w:val="24"/>
          <w:szCs w:val="24"/>
        </w:rPr>
        <w:t xml:space="preserve">  Consequently, the lament about proportional decline assumes that the fraction of the </w:t>
      </w:r>
      <w:r w:rsidR="00A977E8">
        <w:rPr>
          <w:rFonts w:ascii="Times New Roman" w:hAnsi="Times New Roman" w:cs="Times New Roman"/>
          <w:sz w:val="24"/>
          <w:szCs w:val="24"/>
        </w:rPr>
        <w:t xml:space="preserve">total </w:t>
      </w:r>
      <w:r w:rsidRPr="00AF55A3">
        <w:rPr>
          <w:rFonts w:ascii="Times New Roman" w:hAnsi="Times New Roman" w:cs="Times New Roman"/>
          <w:sz w:val="24"/>
          <w:szCs w:val="24"/>
        </w:rPr>
        <w:t xml:space="preserve">population enrolling in liberal arts colleges should have increased by nearly six-fold between </w:t>
      </w:r>
      <w:r w:rsidRPr="00AF55A3">
        <w:rPr>
          <w:rFonts w:ascii="Times New Roman" w:hAnsi="Times New Roman" w:cs="Times New Roman"/>
          <w:sz w:val="24"/>
          <w:szCs w:val="24"/>
        </w:rPr>
        <w:lastRenderedPageBreak/>
        <w:t>1939 and 2009.  Nowhere is this assumption justified or even identified.  The lamenters take it for granted that everyone should be liberally educated</w:t>
      </w:r>
      <w:r w:rsidR="00B47725">
        <w:rPr>
          <w:rFonts w:ascii="Times New Roman" w:hAnsi="Times New Roman" w:cs="Times New Roman"/>
          <w:sz w:val="24"/>
          <w:szCs w:val="24"/>
        </w:rPr>
        <w:t xml:space="preserve">, as did </w:t>
      </w:r>
      <w:r w:rsidR="00E8097B">
        <w:rPr>
          <w:rFonts w:ascii="Times New Roman" w:hAnsi="Times New Roman" w:cs="Times New Roman"/>
          <w:sz w:val="24"/>
          <w:szCs w:val="24"/>
        </w:rPr>
        <w:t xml:space="preserve">University of Chicago President </w:t>
      </w:r>
      <w:r w:rsidR="00B47725" w:rsidRPr="00AF55A3">
        <w:rPr>
          <w:rFonts w:ascii="Times New Roman" w:hAnsi="Times New Roman" w:cs="Times New Roman"/>
          <w:sz w:val="24"/>
          <w:szCs w:val="24"/>
        </w:rPr>
        <w:t>Robert M. Hutchins</w:t>
      </w:r>
      <w:r w:rsidR="00B47725">
        <w:rPr>
          <w:rFonts w:ascii="Times New Roman" w:hAnsi="Times New Roman" w:cs="Times New Roman"/>
          <w:sz w:val="24"/>
          <w:szCs w:val="24"/>
        </w:rPr>
        <w:t xml:space="preserve"> in 1936, asking “why should he not be?”</w:t>
      </w:r>
      <w:r w:rsidRPr="00AF55A3">
        <w:rPr>
          <w:rStyle w:val="FootnoteReference"/>
          <w:rFonts w:cs="Times New Roman"/>
          <w:sz w:val="24"/>
          <w:szCs w:val="24"/>
        </w:rPr>
        <w:footnoteReference w:id="56"/>
      </w:r>
    </w:p>
    <w:p w:rsidR="00D339D0" w:rsidRPr="00AF55A3" w:rsidRDefault="00D339D0" w:rsidP="00AF1BFD">
      <w:pPr>
        <w:spacing w:line="480" w:lineRule="auto"/>
        <w:jc w:val="left"/>
        <w:rPr>
          <w:rFonts w:ascii="Times New Roman" w:hAnsi="Times New Roman" w:cs="Times New Roman"/>
          <w:sz w:val="24"/>
          <w:szCs w:val="24"/>
        </w:rPr>
      </w:pPr>
      <w:r w:rsidRPr="00AF55A3">
        <w:rPr>
          <w:rFonts w:ascii="Times New Roman" w:hAnsi="Times New Roman" w:cs="Times New Roman"/>
          <w:sz w:val="24"/>
          <w:szCs w:val="24"/>
        </w:rPr>
        <w:tab/>
      </w:r>
      <w:r w:rsidR="002F423E" w:rsidRPr="00AF55A3">
        <w:rPr>
          <w:rFonts w:ascii="Times New Roman" w:hAnsi="Times New Roman" w:cs="Times New Roman"/>
          <w:sz w:val="24"/>
          <w:szCs w:val="24"/>
        </w:rPr>
        <w:t xml:space="preserve">But </w:t>
      </w:r>
      <w:r w:rsidRPr="00AF55A3">
        <w:rPr>
          <w:rFonts w:ascii="Times New Roman" w:hAnsi="Times New Roman" w:cs="Times New Roman"/>
          <w:sz w:val="24"/>
          <w:szCs w:val="24"/>
        </w:rPr>
        <w:t>historical data suggest otherwise.</w:t>
      </w:r>
      <w:r w:rsidRPr="00AF55A3">
        <w:rPr>
          <w:rStyle w:val="FootnoteReference"/>
          <w:rFonts w:cs="Times New Roman"/>
          <w:sz w:val="24"/>
          <w:szCs w:val="24"/>
        </w:rPr>
        <w:t xml:space="preserve"> </w:t>
      </w:r>
      <w:r w:rsidRPr="00AF55A3">
        <w:rPr>
          <w:rStyle w:val="FootnoteReference"/>
          <w:rFonts w:cs="Times New Roman"/>
          <w:sz w:val="24"/>
          <w:szCs w:val="24"/>
        </w:rPr>
        <w:footnoteReference w:id="57"/>
      </w:r>
      <w:r w:rsidRPr="00AF55A3">
        <w:rPr>
          <w:rFonts w:ascii="Times New Roman" w:hAnsi="Times New Roman" w:cs="Times New Roman"/>
          <w:sz w:val="24"/>
          <w:szCs w:val="24"/>
        </w:rPr>
        <w:t xml:space="preserve">  During the first half of the 1800s students in higher education in the United States constituted between 0.1 and 0.2 percent of the total population, and nearly all were enrolled in liberal art colleges.  By 1899 about 0.3 percent of all Americans were enrolled in higher education. This rise in the percentage might suggest an increas</w:t>
      </w:r>
      <w:r w:rsidR="00E8097B">
        <w:rPr>
          <w:rFonts w:ascii="Times New Roman" w:hAnsi="Times New Roman" w:cs="Times New Roman"/>
          <w:sz w:val="24"/>
          <w:szCs w:val="24"/>
        </w:rPr>
        <w:t xml:space="preserve">ing proportion </w:t>
      </w:r>
      <w:r w:rsidRPr="00AF55A3">
        <w:rPr>
          <w:rFonts w:ascii="Times New Roman" w:hAnsi="Times New Roman" w:cs="Times New Roman"/>
          <w:sz w:val="24"/>
          <w:szCs w:val="24"/>
        </w:rPr>
        <w:t xml:space="preserve">in liberal arts </w:t>
      </w:r>
      <w:r w:rsidR="00E8097B">
        <w:rPr>
          <w:rFonts w:ascii="Times New Roman" w:hAnsi="Times New Roman" w:cs="Times New Roman"/>
          <w:sz w:val="24"/>
          <w:szCs w:val="24"/>
        </w:rPr>
        <w:t>colleges</w:t>
      </w:r>
      <w:r w:rsidRPr="00AF55A3">
        <w:rPr>
          <w:rFonts w:ascii="Times New Roman" w:hAnsi="Times New Roman" w:cs="Times New Roman"/>
          <w:sz w:val="24"/>
          <w:szCs w:val="24"/>
        </w:rPr>
        <w:t xml:space="preserve">, given the proliferation of Catholic colleges, women’s colleges, and black colleges. But most of the additional students were enrolled in the new research universities, the growing state universities, </w:t>
      </w:r>
      <w:r w:rsidR="00E8097B">
        <w:rPr>
          <w:rFonts w:ascii="Times New Roman" w:hAnsi="Times New Roman" w:cs="Times New Roman"/>
          <w:sz w:val="24"/>
          <w:szCs w:val="24"/>
        </w:rPr>
        <w:t xml:space="preserve">and </w:t>
      </w:r>
      <w:r w:rsidRPr="00AF55A3">
        <w:rPr>
          <w:rFonts w:ascii="Times New Roman" w:hAnsi="Times New Roman" w:cs="Times New Roman"/>
          <w:sz w:val="24"/>
          <w:szCs w:val="24"/>
        </w:rPr>
        <w:t>the new technical institutions and professional schools. So the percentage of liberal arts college students had not changed greatly.</w:t>
      </w:r>
    </w:p>
    <w:p w:rsidR="00D339D0" w:rsidRPr="00AF55A3" w:rsidRDefault="00D339D0" w:rsidP="00AF1BFD">
      <w:pPr>
        <w:spacing w:line="480" w:lineRule="auto"/>
        <w:jc w:val="left"/>
        <w:rPr>
          <w:rFonts w:ascii="Times New Roman" w:hAnsi="Times New Roman" w:cs="Times New Roman"/>
          <w:sz w:val="24"/>
          <w:szCs w:val="24"/>
        </w:rPr>
      </w:pPr>
      <w:r w:rsidRPr="00AF55A3">
        <w:rPr>
          <w:rFonts w:ascii="Times New Roman" w:hAnsi="Times New Roman" w:cs="Times New Roman"/>
          <w:sz w:val="24"/>
          <w:szCs w:val="24"/>
        </w:rPr>
        <w:tab/>
        <w:t>By 1939 higher education enrolled about 1.1 percent of the total population, a fraction three or four times larger than forty years earlier. But the period from 1900 to 1939 had seen the emergence of scores of two-year colleges, the elevation of hundreds of normal schools to teachers colleges, the immense growth of technical institutions and degree-granting professional schools, and the expansion of graduate education</w:t>
      </w:r>
      <w:r w:rsidR="00A977E8">
        <w:rPr>
          <w:rFonts w:ascii="Times New Roman" w:hAnsi="Times New Roman" w:cs="Times New Roman"/>
          <w:sz w:val="24"/>
          <w:szCs w:val="24"/>
        </w:rPr>
        <w:t xml:space="preserve"> and state universities</w:t>
      </w:r>
      <w:r w:rsidRPr="00AF55A3">
        <w:rPr>
          <w:rFonts w:ascii="Times New Roman" w:hAnsi="Times New Roman" w:cs="Times New Roman"/>
          <w:sz w:val="24"/>
          <w:szCs w:val="24"/>
        </w:rPr>
        <w:t xml:space="preserve">, all of which account for most of the increase to 1.1 percent. Consequently, the proportion of liberal arts </w:t>
      </w:r>
      <w:r w:rsidR="00A52A56">
        <w:rPr>
          <w:rFonts w:ascii="Times New Roman" w:hAnsi="Times New Roman" w:cs="Times New Roman"/>
          <w:sz w:val="24"/>
          <w:szCs w:val="24"/>
        </w:rPr>
        <w:t xml:space="preserve">college </w:t>
      </w:r>
      <w:r w:rsidRPr="00AF55A3">
        <w:rPr>
          <w:rFonts w:ascii="Times New Roman" w:hAnsi="Times New Roman" w:cs="Times New Roman"/>
          <w:sz w:val="24"/>
          <w:szCs w:val="24"/>
        </w:rPr>
        <w:t xml:space="preserve">students </w:t>
      </w:r>
      <w:r w:rsidR="00A977E8">
        <w:rPr>
          <w:rFonts w:ascii="Times New Roman" w:hAnsi="Times New Roman" w:cs="Times New Roman"/>
          <w:sz w:val="24"/>
          <w:szCs w:val="24"/>
        </w:rPr>
        <w:t xml:space="preserve">among the total population </w:t>
      </w:r>
      <w:r w:rsidRPr="00AF55A3">
        <w:rPr>
          <w:rFonts w:ascii="Times New Roman" w:hAnsi="Times New Roman" w:cs="Times New Roman"/>
          <w:sz w:val="24"/>
          <w:szCs w:val="24"/>
        </w:rPr>
        <w:t xml:space="preserve">was still a few tenths of one percent in 1939.  In 2008, almost seventy years later, Ferrall’s data indicate that the 225 liberal arts colleges enrolled about 349,000 </w:t>
      </w:r>
      <w:r w:rsidRPr="00AF55A3">
        <w:rPr>
          <w:rFonts w:ascii="Times New Roman" w:hAnsi="Times New Roman" w:cs="Times New Roman"/>
          <w:sz w:val="24"/>
          <w:szCs w:val="24"/>
        </w:rPr>
        <w:lastRenderedPageBreak/>
        <w:t>students, which was still between 0.1 and 0.2 percent of the total population of the United States.</w:t>
      </w:r>
      <w:r w:rsidR="00881243" w:rsidRPr="00AF55A3">
        <w:rPr>
          <w:rStyle w:val="FootnoteReference"/>
          <w:rFonts w:cs="Times New Roman"/>
          <w:sz w:val="24"/>
          <w:szCs w:val="24"/>
        </w:rPr>
        <w:footnoteReference w:id="58"/>
      </w:r>
      <w:r w:rsidRPr="00AF55A3">
        <w:rPr>
          <w:rFonts w:ascii="Times New Roman" w:hAnsi="Times New Roman" w:cs="Times New Roman"/>
          <w:sz w:val="24"/>
          <w:szCs w:val="24"/>
        </w:rPr>
        <w:t xml:space="preserve"> The number of liberal arts colleges had decreased, but many </w:t>
      </w:r>
      <w:r w:rsidR="00A52A56">
        <w:rPr>
          <w:rFonts w:ascii="Times New Roman" w:hAnsi="Times New Roman" w:cs="Times New Roman"/>
          <w:sz w:val="24"/>
          <w:szCs w:val="24"/>
        </w:rPr>
        <w:t xml:space="preserve">of the remaining colleges </w:t>
      </w:r>
      <w:r w:rsidRPr="00AF55A3">
        <w:rPr>
          <w:rFonts w:ascii="Times New Roman" w:hAnsi="Times New Roman" w:cs="Times New Roman"/>
          <w:sz w:val="24"/>
          <w:szCs w:val="24"/>
        </w:rPr>
        <w:t>had increased their enrollment significantly, particularly as single-sex colleges adopte</w:t>
      </w:r>
      <w:r w:rsidR="00A52A56">
        <w:rPr>
          <w:rFonts w:ascii="Times New Roman" w:hAnsi="Times New Roman" w:cs="Times New Roman"/>
          <w:sz w:val="24"/>
          <w:szCs w:val="24"/>
        </w:rPr>
        <w:t>d co-education</w:t>
      </w:r>
      <w:r w:rsidRPr="00AF55A3">
        <w:rPr>
          <w:rFonts w:ascii="Times New Roman" w:hAnsi="Times New Roman" w:cs="Times New Roman"/>
          <w:sz w:val="24"/>
          <w:szCs w:val="24"/>
        </w:rPr>
        <w:t>.</w:t>
      </w:r>
    </w:p>
    <w:p w:rsidR="00D339D0" w:rsidRPr="00AF55A3" w:rsidRDefault="00D339D0" w:rsidP="00AF1BFD">
      <w:pPr>
        <w:spacing w:line="480" w:lineRule="auto"/>
        <w:jc w:val="left"/>
        <w:rPr>
          <w:rFonts w:ascii="Times New Roman" w:hAnsi="Times New Roman" w:cs="Times New Roman"/>
          <w:sz w:val="24"/>
          <w:szCs w:val="24"/>
        </w:rPr>
      </w:pPr>
      <w:r w:rsidRPr="00AF55A3">
        <w:rPr>
          <w:rFonts w:ascii="Times New Roman" w:hAnsi="Times New Roman" w:cs="Times New Roman"/>
          <w:sz w:val="24"/>
          <w:szCs w:val="24"/>
        </w:rPr>
        <w:tab/>
        <w:t>Hence, these rough figures suggest that the percentage of the population enrolling in liberal arts colleges has remained remarkably stable over the last two centuries: between 0.1 and 0.2 percent of the total population and certainly within the same order of magnitude.  Apparently, then, in the history of the United States</w:t>
      </w:r>
      <w:r w:rsidR="00B47725">
        <w:rPr>
          <w:rFonts w:ascii="Times New Roman" w:hAnsi="Times New Roman" w:cs="Times New Roman"/>
          <w:sz w:val="24"/>
          <w:szCs w:val="24"/>
        </w:rPr>
        <w:t>,</w:t>
      </w:r>
      <w:r w:rsidRPr="00AF55A3">
        <w:rPr>
          <w:rFonts w:ascii="Times New Roman" w:hAnsi="Times New Roman" w:cs="Times New Roman"/>
          <w:sz w:val="24"/>
          <w:szCs w:val="24"/>
        </w:rPr>
        <w:t xml:space="preserve"> liberal arts colleges have consistently served about one to two percent of the “talented tenth” of the entire population. Given this, proportional laments that “the share of B.A. degrees awarded in the liberal arts has declined” over “the past century” rest on the assumption that a much larger proportion of the total population should be engaged in liberal arts education and enrolled in liberal arts colleges, than has ever been the case historically.</w:t>
      </w:r>
      <w:r w:rsidRPr="00AF55A3">
        <w:rPr>
          <w:rStyle w:val="FootnoteReference"/>
          <w:rFonts w:cs="Times New Roman"/>
          <w:sz w:val="24"/>
          <w:szCs w:val="24"/>
        </w:rPr>
        <w:footnoteReference w:id="59"/>
      </w:r>
      <w:r w:rsidRPr="00AF55A3">
        <w:rPr>
          <w:rFonts w:ascii="Times New Roman" w:hAnsi="Times New Roman" w:cs="Times New Roman"/>
          <w:sz w:val="24"/>
          <w:szCs w:val="24"/>
        </w:rPr>
        <w:t xml:space="preserve">  In this way, laments about proportional decline overestimate the potential population of liberal arts students.</w:t>
      </w:r>
    </w:p>
    <w:p w:rsidR="00D339D0" w:rsidRPr="00AF55A3" w:rsidRDefault="00D339D0" w:rsidP="00AF1BFD">
      <w:pPr>
        <w:spacing w:line="480" w:lineRule="auto"/>
        <w:jc w:val="left"/>
        <w:rPr>
          <w:rFonts w:ascii="Times New Roman" w:hAnsi="Times New Roman" w:cs="Times New Roman"/>
          <w:sz w:val="24"/>
          <w:szCs w:val="24"/>
        </w:rPr>
      </w:pPr>
      <w:r w:rsidRPr="00AF55A3">
        <w:rPr>
          <w:rFonts w:ascii="Times New Roman" w:hAnsi="Times New Roman" w:cs="Times New Roman"/>
          <w:sz w:val="24"/>
          <w:szCs w:val="24"/>
        </w:rPr>
        <w:tab/>
        <w:t>Paradoxically, the declension narrative also undercounts the actual population of liberal arts students.  It is true that the number of liberal arts majors in liberal arts colleges has fallen in discrete precipitous episodes.  Farrell maintains that about one-quarter of the 349,000 students in the liberal arts colleges were enrolled in vocational majors, dropping the number of liberal arts majors to about 261,000.</w:t>
      </w:r>
      <w:r w:rsidR="0004521B" w:rsidRPr="00AF55A3">
        <w:rPr>
          <w:rStyle w:val="FootnoteReference"/>
          <w:rFonts w:cs="Times New Roman"/>
          <w:sz w:val="24"/>
          <w:szCs w:val="24"/>
        </w:rPr>
        <w:footnoteReference w:id="60"/>
      </w:r>
      <w:r w:rsidRPr="00AF55A3">
        <w:rPr>
          <w:rFonts w:ascii="Times New Roman" w:hAnsi="Times New Roman" w:cs="Times New Roman"/>
          <w:sz w:val="24"/>
          <w:szCs w:val="24"/>
        </w:rPr>
        <w:t xml:space="preserve">  </w:t>
      </w:r>
      <w:r w:rsidR="00DE1463">
        <w:rPr>
          <w:rFonts w:ascii="Times New Roman" w:hAnsi="Times New Roman" w:cs="Times New Roman"/>
          <w:sz w:val="24"/>
          <w:szCs w:val="24"/>
        </w:rPr>
        <w:t xml:space="preserve">If </w:t>
      </w:r>
      <w:r w:rsidR="00A977E8">
        <w:rPr>
          <w:rFonts w:ascii="Times New Roman" w:hAnsi="Times New Roman" w:cs="Times New Roman"/>
          <w:sz w:val="24"/>
          <w:szCs w:val="24"/>
        </w:rPr>
        <w:t xml:space="preserve">only these liberal arts majors are counted, </w:t>
      </w:r>
      <w:r w:rsidR="00DE1463">
        <w:rPr>
          <w:rFonts w:ascii="Times New Roman" w:hAnsi="Times New Roman" w:cs="Times New Roman"/>
          <w:sz w:val="24"/>
          <w:szCs w:val="24"/>
        </w:rPr>
        <w:t xml:space="preserve">then this drop would bring their total </w:t>
      </w:r>
      <w:r w:rsidRPr="00AF55A3">
        <w:rPr>
          <w:rFonts w:ascii="Times New Roman" w:hAnsi="Times New Roman" w:cs="Times New Roman"/>
          <w:sz w:val="24"/>
          <w:szCs w:val="24"/>
        </w:rPr>
        <w:t xml:space="preserve">below 0.1 percent of the population and </w:t>
      </w:r>
      <w:r w:rsidR="00DE1463">
        <w:rPr>
          <w:rFonts w:ascii="Times New Roman" w:hAnsi="Times New Roman" w:cs="Times New Roman"/>
          <w:sz w:val="24"/>
          <w:szCs w:val="24"/>
        </w:rPr>
        <w:t xml:space="preserve">below </w:t>
      </w:r>
      <w:r w:rsidRPr="00AF55A3">
        <w:rPr>
          <w:rFonts w:ascii="Times New Roman" w:hAnsi="Times New Roman" w:cs="Times New Roman"/>
          <w:sz w:val="24"/>
          <w:szCs w:val="24"/>
        </w:rPr>
        <w:t xml:space="preserve">the historical norm of liberal arts </w:t>
      </w:r>
      <w:r w:rsidR="00DE1463">
        <w:rPr>
          <w:rFonts w:ascii="Times New Roman" w:hAnsi="Times New Roman" w:cs="Times New Roman"/>
          <w:sz w:val="24"/>
          <w:szCs w:val="24"/>
        </w:rPr>
        <w:t xml:space="preserve">college </w:t>
      </w:r>
      <w:r w:rsidRPr="00AF55A3">
        <w:rPr>
          <w:rFonts w:ascii="Times New Roman" w:hAnsi="Times New Roman" w:cs="Times New Roman"/>
          <w:sz w:val="24"/>
          <w:szCs w:val="24"/>
        </w:rPr>
        <w:t>students in</w:t>
      </w:r>
      <w:r w:rsidR="00DE1463">
        <w:rPr>
          <w:rFonts w:ascii="Times New Roman" w:hAnsi="Times New Roman" w:cs="Times New Roman"/>
          <w:sz w:val="24"/>
          <w:szCs w:val="24"/>
        </w:rPr>
        <w:t xml:space="preserve"> the population.</w:t>
      </w:r>
    </w:p>
    <w:p w:rsidR="00B71115" w:rsidRDefault="00D339D0" w:rsidP="00AF1BFD">
      <w:pPr>
        <w:spacing w:line="480" w:lineRule="auto"/>
        <w:jc w:val="left"/>
        <w:rPr>
          <w:rFonts w:ascii="Times New Roman" w:hAnsi="Times New Roman" w:cs="Times New Roman"/>
          <w:sz w:val="24"/>
          <w:szCs w:val="24"/>
        </w:rPr>
      </w:pPr>
      <w:r w:rsidRPr="00AF55A3">
        <w:rPr>
          <w:rFonts w:ascii="Times New Roman" w:hAnsi="Times New Roman" w:cs="Times New Roman"/>
          <w:sz w:val="24"/>
          <w:szCs w:val="24"/>
        </w:rPr>
        <w:lastRenderedPageBreak/>
        <w:tab/>
        <w:t>However, this refutation relies on the premise that students outside of liberal arts colleges are not enrolled in the liberal arts.  Granted, some justification exists for this view.  According to historian Ellen Schrecker, liberal arts enrollment has evaporated at “the second- and third-tier public institutions that educate[] the overwhelming bulk of American undergraduates.”</w:t>
      </w:r>
      <w:r w:rsidRPr="00AF55A3">
        <w:rPr>
          <w:rStyle w:val="FootnoteReference"/>
          <w:rFonts w:cs="Times New Roman"/>
          <w:sz w:val="24"/>
          <w:szCs w:val="24"/>
        </w:rPr>
        <w:footnoteReference w:id="61"/>
      </w:r>
      <w:r w:rsidRPr="00AF55A3">
        <w:rPr>
          <w:rFonts w:ascii="Times New Roman" w:hAnsi="Times New Roman" w:cs="Times New Roman"/>
          <w:sz w:val="24"/>
          <w:szCs w:val="24"/>
        </w:rPr>
        <w:t xml:space="preserve">  In addition, many would argue that the “college of arts and sciences” </w:t>
      </w:r>
      <w:r w:rsidR="00C35E16">
        <w:rPr>
          <w:rFonts w:ascii="Times New Roman" w:hAnsi="Times New Roman" w:cs="Times New Roman"/>
          <w:sz w:val="24"/>
          <w:szCs w:val="24"/>
        </w:rPr>
        <w:t xml:space="preserve">at </w:t>
      </w:r>
      <w:r w:rsidR="005E514B">
        <w:rPr>
          <w:rFonts w:ascii="Times New Roman" w:hAnsi="Times New Roman" w:cs="Times New Roman"/>
          <w:sz w:val="24"/>
          <w:szCs w:val="24"/>
        </w:rPr>
        <w:t xml:space="preserve">a </w:t>
      </w:r>
      <w:r w:rsidR="00C35E16">
        <w:rPr>
          <w:rFonts w:ascii="Times New Roman" w:hAnsi="Times New Roman" w:cs="Times New Roman"/>
          <w:sz w:val="24"/>
          <w:szCs w:val="24"/>
        </w:rPr>
        <w:t>research universit</w:t>
      </w:r>
      <w:r w:rsidR="005E514B">
        <w:rPr>
          <w:rFonts w:ascii="Times New Roman" w:hAnsi="Times New Roman" w:cs="Times New Roman"/>
          <w:sz w:val="24"/>
          <w:szCs w:val="24"/>
        </w:rPr>
        <w:t>y</w:t>
      </w:r>
      <w:r w:rsidR="00C35E16">
        <w:rPr>
          <w:rFonts w:ascii="Times New Roman" w:hAnsi="Times New Roman" w:cs="Times New Roman"/>
          <w:sz w:val="24"/>
          <w:szCs w:val="24"/>
        </w:rPr>
        <w:t xml:space="preserve"> </w:t>
      </w:r>
      <w:r w:rsidRPr="00AF55A3">
        <w:rPr>
          <w:rFonts w:ascii="Times New Roman" w:hAnsi="Times New Roman" w:cs="Times New Roman"/>
          <w:sz w:val="24"/>
          <w:szCs w:val="24"/>
        </w:rPr>
        <w:t xml:space="preserve">does not provide the </w:t>
      </w:r>
      <w:r w:rsidR="00256DEC">
        <w:rPr>
          <w:rFonts w:ascii="Times New Roman" w:hAnsi="Times New Roman" w:cs="Times New Roman"/>
          <w:sz w:val="24"/>
          <w:szCs w:val="24"/>
        </w:rPr>
        <w:t>vibrant “community of learning” that a liberal arts college does</w:t>
      </w:r>
      <w:r w:rsidR="00C35E16">
        <w:rPr>
          <w:rFonts w:ascii="Times New Roman" w:hAnsi="Times New Roman" w:cs="Times New Roman"/>
          <w:sz w:val="24"/>
          <w:szCs w:val="24"/>
        </w:rPr>
        <w:t xml:space="preserve"> and that a liberal arts education requires</w:t>
      </w:r>
      <w:r w:rsidR="00256DEC">
        <w:rPr>
          <w:rFonts w:ascii="Times New Roman" w:hAnsi="Times New Roman" w:cs="Times New Roman"/>
          <w:sz w:val="24"/>
          <w:szCs w:val="24"/>
        </w:rPr>
        <w:t>.</w:t>
      </w:r>
      <w:r w:rsidRPr="00AF55A3">
        <w:rPr>
          <w:rStyle w:val="FootnoteReference"/>
          <w:rFonts w:cs="Times New Roman"/>
          <w:sz w:val="24"/>
          <w:szCs w:val="24"/>
        </w:rPr>
        <w:footnoteReference w:id="62"/>
      </w:r>
      <w:r w:rsidRPr="00AF55A3">
        <w:rPr>
          <w:rFonts w:ascii="Times New Roman" w:hAnsi="Times New Roman" w:cs="Times New Roman"/>
          <w:sz w:val="24"/>
          <w:szCs w:val="24"/>
        </w:rPr>
        <w:t xml:space="preserve">  </w:t>
      </w:r>
      <w:r w:rsidR="00B71115">
        <w:rPr>
          <w:rFonts w:ascii="Times New Roman" w:hAnsi="Times New Roman" w:cs="Times New Roman"/>
          <w:sz w:val="24"/>
          <w:szCs w:val="24"/>
        </w:rPr>
        <w:t xml:space="preserve">Certainly, it is widely agreed that a university faculty does not constitute a community of learning in the way that a liberal arts college faculty </w:t>
      </w:r>
      <w:r w:rsidR="00411303">
        <w:rPr>
          <w:rFonts w:ascii="Times New Roman" w:hAnsi="Times New Roman" w:cs="Times New Roman"/>
          <w:sz w:val="24"/>
          <w:szCs w:val="24"/>
        </w:rPr>
        <w:t>usually</w:t>
      </w:r>
      <w:r w:rsidR="00B71115">
        <w:rPr>
          <w:rFonts w:ascii="Times New Roman" w:hAnsi="Times New Roman" w:cs="Times New Roman"/>
          <w:sz w:val="24"/>
          <w:szCs w:val="24"/>
        </w:rPr>
        <w:t xml:space="preserve"> does, because </w:t>
      </w:r>
      <w:r w:rsidR="005E514B">
        <w:rPr>
          <w:rFonts w:ascii="Times New Roman" w:hAnsi="Times New Roman" w:cs="Times New Roman"/>
          <w:sz w:val="24"/>
          <w:szCs w:val="24"/>
        </w:rPr>
        <w:t xml:space="preserve">most university </w:t>
      </w:r>
      <w:r w:rsidR="00B71115">
        <w:rPr>
          <w:rFonts w:ascii="Times New Roman" w:hAnsi="Times New Roman" w:cs="Times New Roman"/>
          <w:sz w:val="24"/>
          <w:szCs w:val="24"/>
        </w:rPr>
        <w:t xml:space="preserve">faculty </w:t>
      </w:r>
      <w:r w:rsidR="005E514B">
        <w:rPr>
          <w:rFonts w:ascii="Times New Roman" w:hAnsi="Times New Roman" w:cs="Times New Roman"/>
          <w:sz w:val="24"/>
          <w:szCs w:val="24"/>
        </w:rPr>
        <w:t xml:space="preserve">identify more strongly with their discipline than their institution, as compared to faculty at a liberal arts college.  </w:t>
      </w:r>
      <w:r w:rsidR="00B71115">
        <w:rPr>
          <w:rFonts w:ascii="Times New Roman" w:hAnsi="Times New Roman" w:cs="Times New Roman"/>
          <w:sz w:val="24"/>
          <w:szCs w:val="24"/>
        </w:rPr>
        <w:t xml:space="preserve">Insofar as </w:t>
      </w:r>
      <w:r w:rsidR="00ED7F65">
        <w:rPr>
          <w:rFonts w:ascii="Times New Roman" w:hAnsi="Times New Roman" w:cs="Times New Roman"/>
          <w:sz w:val="24"/>
          <w:szCs w:val="24"/>
        </w:rPr>
        <w:t>a</w:t>
      </w:r>
      <w:r w:rsidR="00411303">
        <w:rPr>
          <w:rFonts w:ascii="Times New Roman" w:hAnsi="Times New Roman" w:cs="Times New Roman"/>
          <w:sz w:val="24"/>
          <w:szCs w:val="24"/>
        </w:rPr>
        <w:t xml:space="preserve"> liberal arts education depends on a </w:t>
      </w:r>
      <w:r w:rsidR="00ED7F65">
        <w:rPr>
          <w:rFonts w:ascii="Times New Roman" w:hAnsi="Times New Roman" w:cs="Times New Roman"/>
          <w:sz w:val="24"/>
          <w:szCs w:val="24"/>
        </w:rPr>
        <w:t xml:space="preserve">vibrant community of learning </w:t>
      </w:r>
      <w:r w:rsidR="00411303">
        <w:rPr>
          <w:rFonts w:ascii="Times New Roman" w:hAnsi="Times New Roman" w:cs="Times New Roman"/>
          <w:sz w:val="24"/>
          <w:szCs w:val="24"/>
        </w:rPr>
        <w:t xml:space="preserve">and insofar as such a community </w:t>
      </w:r>
      <w:r w:rsidR="00053A3D">
        <w:rPr>
          <w:rFonts w:ascii="Times New Roman" w:hAnsi="Times New Roman" w:cs="Times New Roman"/>
          <w:sz w:val="24"/>
          <w:szCs w:val="24"/>
        </w:rPr>
        <w:t xml:space="preserve">at an institution </w:t>
      </w:r>
      <w:r w:rsidR="00411303">
        <w:rPr>
          <w:rFonts w:ascii="Times New Roman" w:hAnsi="Times New Roman" w:cs="Times New Roman"/>
          <w:sz w:val="24"/>
          <w:szCs w:val="24"/>
        </w:rPr>
        <w:t xml:space="preserve">depends on </w:t>
      </w:r>
      <w:r w:rsidR="00053A3D">
        <w:rPr>
          <w:rFonts w:ascii="Times New Roman" w:hAnsi="Times New Roman" w:cs="Times New Roman"/>
          <w:sz w:val="24"/>
          <w:szCs w:val="24"/>
        </w:rPr>
        <w:t xml:space="preserve">the faculty being a </w:t>
      </w:r>
      <w:r w:rsidR="00411303">
        <w:rPr>
          <w:rFonts w:ascii="Times New Roman" w:hAnsi="Times New Roman" w:cs="Times New Roman"/>
          <w:sz w:val="24"/>
          <w:szCs w:val="24"/>
        </w:rPr>
        <w:t xml:space="preserve">community </w:t>
      </w:r>
      <w:r w:rsidR="00053A3D">
        <w:rPr>
          <w:rFonts w:ascii="Times New Roman" w:hAnsi="Times New Roman" w:cs="Times New Roman"/>
          <w:sz w:val="24"/>
          <w:szCs w:val="24"/>
        </w:rPr>
        <w:t>of learning</w:t>
      </w:r>
      <w:r w:rsidR="00411303">
        <w:rPr>
          <w:rFonts w:ascii="Times New Roman" w:hAnsi="Times New Roman" w:cs="Times New Roman"/>
          <w:sz w:val="24"/>
          <w:szCs w:val="24"/>
        </w:rPr>
        <w:t xml:space="preserve">, then there is justification for distinguishing the college of arts and sciences at a university from liberal arts </w:t>
      </w:r>
      <w:r w:rsidR="00D353EB">
        <w:rPr>
          <w:rFonts w:ascii="Times New Roman" w:hAnsi="Times New Roman" w:cs="Times New Roman"/>
          <w:sz w:val="24"/>
          <w:szCs w:val="24"/>
        </w:rPr>
        <w:t>education</w:t>
      </w:r>
      <w:r w:rsidR="00C02005">
        <w:rPr>
          <w:rFonts w:ascii="Times New Roman" w:hAnsi="Times New Roman" w:cs="Times New Roman"/>
          <w:sz w:val="24"/>
          <w:szCs w:val="24"/>
        </w:rPr>
        <w:t xml:space="preserve">, while there may also be other grounds for </w:t>
      </w:r>
      <w:r w:rsidR="005776C3">
        <w:rPr>
          <w:rFonts w:ascii="Times New Roman" w:hAnsi="Times New Roman" w:cs="Times New Roman"/>
          <w:sz w:val="24"/>
          <w:szCs w:val="24"/>
        </w:rPr>
        <w:t xml:space="preserve">this distinction, </w:t>
      </w:r>
      <w:r w:rsidR="00C02005">
        <w:rPr>
          <w:rFonts w:ascii="Times New Roman" w:hAnsi="Times New Roman" w:cs="Times New Roman"/>
          <w:sz w:val="24"/>
          <w:szCs w:val="24"/>
        </w:rPr>
        <w:t xml:space="preserve">such as </w:t>
      </w:r>
      <w:r w:rsidR="005776C3">
        <w:rPr>
          <w:rFonts w:ascii="Times New Roman" w:hAnsi="Times New Roman" w:cs="Times New Roman"/>
          <w:sz w:val="24"/>
          <w:szCs w:val="24"/>
        </w:rPr>
        <w:t>class size and the amount of student-faculty contact.</w:t>
      </w:r>
    </w:p>
    <w:p w:rsidR="00D339D0" w:rsidRPr="00AF55A3" w:rsidRDefault="00C02005" w:rsidP="00AF1BFD">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7F6B1C">
        <w:rPr>
          <w:rFonts w:ascii="Times New Roman" w:hAnsi="Times New Roman" w:cs="Times New Roman"/>
          <w:sz w:val="24"/>
          <w:szCs w:val="24"/>
        </w:rPr>
        <w:t>I</w:t>
      </w:r>
      <w:r>
        <w:rPr>
          <w:rFonts w:ascii="Times New Roman" w:hAnsi="Times New Roman" w:cs="Times New Roman"/>
          <w:sz w:val="24"/>
          <w:szCs w:val="24"/>
        </w:rPr>
        <w:t xml:space="preserve">n order to address the strongest </w:t>
      </w:r>
      <w:r w:rsidR="007F6B1C">
        <w:rPr>
          <w:rFonts w:ascii="Times New Roman" w:hAnsi="Times New Roman" w:cs="Times New Roman"/>
          <w:sz w:val="24"/>
          <w:szCs w:val="24"/>
        </w:rPr>
        <w:t xml:space="preserve">form of the declension narrative </w:t>
      </w:r>
      <w:r w:rsidR="00ED6D9C">
        <w:rPr>
          <w:rFonts w:ascii="Times New Roman" w:hAnsi="Times New Roman" w:cs="Times New Roman"/>
          <w:sz w:val="24"/>
          <w:szCs w:val="24"/>
        </w:rPr>
        <w:t xml:space="preserve">for purposes of argument, let us grant </w:t>
      </w:r>
      <w:r w:rsidR="007F6B1C">
        <w:rPr>
          <w:rFonts w:ascii="Times New Roman" w:hAnsi="Times New Roman" w:cs="Times New Roman"/>
          <w:sz w:val="24"/>
          <w:szCs w:val="24"/>
        </w:rPr>
        <w:t xml:space="preserve">the exclusion of even the college of arts and sciences at research universities, as well as the general student body at second and third-tier universities, and then ask </w:t>
      </w:r>
      <w:r w:rsidR="00C465A5">
        <w:rPr>
          <w:rFonts w:ascii="Times New Roman" w:hAnsi="Times New Roman" w:cs="Times New Roman"/>
          <w:sz w:val="24"/>
          <w:szCs w:val="24"/>
        </w:rPr>
        <w:t xml:space="preserve">where else could </w:t>
      </w:r>
      <w:r w:rsidR="007F6B1C">
        <w:rPr>
          <w:rFonts w:ascii="Times New Roman" w:hAnsi="Times New Roman" w:cs="Times New Roman"/>
          <w:sz w:val="24"/>
          <w:szCs w:val="24"/>
        </w:rPr>
        <w:t xml:space="preserve">liberal arts students </w:t>
      </w:r>
      <w:r w:rsidR="00C465A5">
        <w:rPr>
          <w:rFonts w:ascii="Times New Roman" w:hAnsi="Times New Roman" w:cs="Times New Roman"/>
          <w:sz w:val="24"/>
          <w:szCs w:val="24"/>
        </w:rPr>
        <w:t xml:space="preserve">possibly enroll </w:t>
      </w:r>
      <w:r w:rsidR="00D339D0" w:rsidRPr="00AF55A3">
        <w:rPr>
          <w:rFonts w:ascii="Times New Roman" w:hAnsi="Times New Roman" w:cs="Times New Roman"/>
          <w:sz w:val="24"/>
          <w:szCs w:val="24"/>
        </w:rPr>
        <w:t>apart from liberal arts colleges?  They enroll, I suggest, in the</w:t>
      </w:r>
      <w:r w:rsidR="00844544">
        <w:rPr>
          <w:rFonts w:ascii="Times New Roman" w:hAnsi="Times New Roman" w:cs="Times New Roman"/>
          <w:sz w:val="24"/>
          <w:szCs w:val="24"/>
        </w:rPr>
        <w:t xml:space="preserve"> </w:t>
      </w:r>
      <w:r w:rsidR="00D339D0" w:rsidRPr="00AF55A3">
        <w:rPr>
          <w:rFonts w:ascii="Times New Roman" w:hAnsi="Times New Roman" w:cs="Times New Roman"/>
          <w:sz w:val="24"/>
          <w:szCs w:val="24"/>
        </w:rPr>
        <w:t xml:space="preserve">some 400 honors programs or colleges that have sprung up at universities throughout the country during the last 40 years. </w:t>
      </w:r>
    </w:p>
    <w:p w:rsidR="00D339D0" w:rsidRPr="00AF55A3" w:rsidRDefault="00D339D0" w:rsidP="00AF1BFD">
      <w:pPr>
        <w:spacing w:line="480" w:lineRule="auto"/>
        <w:jc w:val="left"/>
        <w:rPr>
          <w:rFonts w:ascii="Times New Roman" w:hAnsi="Times New Roman" w:cs="Times New Roman"/>
          <w:sz w:val="24"/>
          <w:szCs w:val="24"/>
        </w:rPr>
      </w:pPr>
    </w:p>
    <w:p w:rsidR="00D339D0" w:rsidRPr="00AF55A3" w:rsidRDefault="00D339D0" w:rsidP="00AF1BFD">
      <w:pPr>
        <w:spacing w:line="480" w:lineRule="auto"/>
        <w:jc w:val="center"/>
        <w:rPr>
          <w:rFonts w:ascii="Times New Roman" w:hAnsi="Times New Roman" w:cs="Times New Roman"/>
          <w:sz w:val="24"/>
          <w:szCs w:val="24"/>
        </w:rPr>
      </w:pPr>
      <w:r w:rsidRPr="00AF55A3">
        <w:rPr>
          <w:rFonts w:ascii="Times New Roman" w:hAnsi="Times New Roman" w:cs="Times New Roman"/>
          <w:sz w:val="24"/>
          <w:szCs w:val="24"/>
        </w:rPr>
        <w:t>III.</w:t>
      </w:r>
    </w:p>
    <w:p w:rsidR="00D339D0" w:rsidRPr="00AF55A3" w:rsidRDefault="00D339D0" w:rsidP="00AF1BFD">
      <w:pPr>
        <w:spacing w:line="480" w:lineRule="auto"/>
        <w:jc w:val="center"/>
        <w:rPr>
          <w:rFonts w:ascii="Times New Roman" w:hAnsi="Times New Roman" w:cs="Times New Roman"/>
          <w:sz w:val="24"/>
          <w:szCs w:val="24"/>
        </w:rPr>
      </w:pPr>
    </w:p>
    <w:p w:rsidR="00D339D0" w:rsidRPr="00AF55A3" w:rsidRDefault="00D339D0" w:rsidP="00AF1BFD">
      <w:pPr>
        <w:spacing w:line="480" w:lineRule="auto"/>
        <w:jc w:val="left"/>
        <w:rPr>
          <w:rFonts w:ascii="Times New Roman" w:hAnsi="Times New Roman" w:cs="Times New Roman"/>
          <w:sz w:val="24"/>
          <w:szCs w:val="24"/>
        </w:rPr>
      </w:pPr>
      <w:r w:rsidRPr="00AF55A3">
        <w:rPr>
          <w:rFonts w:ascii="Times New Roman" w:hAnsi="Times New Roman" w:cs="Times New Roman"/>
          <w:sz w:val="24"/>
          <w:szCs w:val="24"/>
        </w:rPr>
        <w:t xml:space="preserve">Honors Programs strive to create the academic experience of a small liberal arts college within a large university, and they generally receive extensive supplementary resources that support </w:t>
      </w:r>
      <w:r w:rsidR="00844544">
        <w:rPr>
          <w:rFonts w:ascii="Times New Roman" w:hAnsi="Times New Roman" w:cs="Times New Roman"/>
          <w:sz w:val="24"/>
          <w:szCs w:val="24"/>
        </w:rPr>
        <w:t>special</w:t>
      </w:r>
      <w:r w:rsidRPr="00AF55A3">
        <w:rPr>
          <w:rFonts w:ascii="Times New Roman" w:hAnsi="Times New Roman" w:cs="Times New Roman"/>
          <w:sz w:val="24"/>
          <w:szCs w:val="24"/>
        </w:rPr>
        <w:t xml:space="preserve"> courses, advising, dormitories, and requirements that aim at a liberal arts education.  They </w:t>
      </w:r>
      <w:r w:rsidR="00844544">
        <w:rPr>
          <w:rFonts w:ascii="Times New Roman" w:hAnsi="Times New Roman" w:cs="Times New Roman"/>
          <w:sz w:val="24"/>
          <w:szCs w:val="24"/>
        </w:rPr>
        <w:t>usually</w:t>
      </w:r>
      <w:r w:rsidRPr="00AF55A3">
        <w:rPr>
          <w:rFonts w:ascii="Times New Roman" w:hAnsi="Times New Roman" w:cs="Times New Roman"/>
          <w:sz w:val="24"/>
          <w:szCs w:val="24"/>
        </w:rPr>
        <w:t xml:space="preserve"> have a lot of scholarship money to recruit students.  In the past four</w:t>
      </w:r>
      <w:r w:rsidR="00844544">
        <w:rPr>
          <w:rFonts w:ascii="Times New Roman" w:hAnsi="Times New Roman" w:cs="Times New Roman"/>
          <w:sz w:val="24"/>
          <w:szCs w:val="24"/>
        </w:rPr>
        <w:t xml:space="preserve"> decades, the number of h</w:t>
      </w:r>
      <w:r w:rsidRPr="00AF55A3">
        <w:rPr>
          <w:rFonts w:ascii="Times New Roman" w:hAnsi="Times New Roman" w:cs="Times New Roman"/>
          <w:sz w:val="24"/>
          <w:szCs w:val="24"/>
        </w:rPr>
        <w:t xml:space="preserve">onors programs or </w:t>
      </w:r>
      <w:r w:rsidR="00844544">
        <w:rPr>
          <w:rFonts w:ascii="Times New Roman" w:hAnsi="Times New Roman" w:cs="Times New Roman"/>
          <w:sz w:val="24"/>
          <w:szCs w:val="24"/>
        </w:rPr>
        <w:t>c</w:t>
      </w:r>
      <w:r w:rsidRPr="00AF55A3">
        <w:rPr>
          <w:rFonts w:ascii="Times New Roman" w:hAnsi="Times New Roman" w:cs="Times New Roman"/>
          <w:sz w:val="24"/>
          <w:szCs w:val="24"/>
        </w:rPr>
        <w:t xml:space="preserve">olleges at universities has quietly surpassed the number of liberal arts colleges in the country.  Indeed, their numbers have moved inversely. While the number of liberal arts colleges in the country has fallen </w:t>
      </w:r>
      <w:r w:rsidR="00B47725">
        <w:rPr>
          <w:rFonts w:ascii="Times New Roman" w:hAnsi="Times New Roman" w:cs="Times New Roman"/>
          <w:sz w:val="24"/>
          <w:szCs w:val="24"/>
        </w:rPr>
        <w:t xml:space="preserve">from about 500 </w:t>
      </w:r>
      <w:r w:rsidRPr="00AF55A3">
        <w:rPr>
          <w:rFonts w:ascii="Times New Roman" w:hAnsi="Times New Roman" w:cs="Times New Roman"/>
          <w:sz w:val="24"/>
          <w:szCs w:val="24"/>
        </w:rPr>
        <w:t xml:space="preserve">to about 200, the number of Honors Programs at universities has grown </w:t>
      </w:r>
      <w:r w:rsidR="00B47725">
        <w:rPr>
          <w:rFonts w:ascii="Times New Roman" w:hAnsi="Times New Roman" w:cs="Times New Roman"/>
          <w:sz w:val="24"/>
          <w:szCs w:val="24"/>
        </w:rPr>
        <w:t xml:space="preserve">from about 100 </w:t>
      </w:r>
      <w:r w:rsidRPr="00AF55A3">
        <w:rPr>
          <w:rFonts w:ascii="Times New Roman" w:hAnsi="Times New Roman" w:cs="Times New Roman"/>
          <w:sz w:val="24"/>
          <w:szCs w:val="24"/>
        </w:rPr>
        <w:t>to about 400.</w:t>
      </w:r>
      <w:r w:rsidRPr="00AF55A3">
        <w:rPr>
          <w:rStyle w:val="FootnoteReference"/>
          <w:rFonts w:cs="Times New Roman"/>
          <w:sz w:val="24"/>
          <w:szCs w:val="24"/>
        </w:rPr>
        <w:footnoteReference w:id="63"/>
      </w:r>
      <w:r w:rsidRPr="00AF55A3">
        <w:rPr>
          <w:rFonts w:ascii="Times New Roman" w:hAnsi="Times New Roman" w:cs="Times New Roman"/>
          <w:sz w:val="24"/>
          <w:szCs w:val="24"/>
        </w:rPr>
        <w:t xml:space="preserve">  </w:t>
      </w:r>
    </w:p>
    <w:p w:rsidR="00833905" w:rsidRDefault="00D339D0" w:rsidP="00AF1BFD">
      <w:pPr>
        <w:spacing w:line="480" w:lineRule="auto"/>
        <w:jc w:val="left"/>
        <w:rPr>
          <w:rFonts w:ascii="Times New Roman" w:hAnsi="Times New Roman" w:cs="Times New Roman"/>
          <w:sz w:val="24"/>
          <w:szCs w:val="24"/>
        </w:rPr>
      </w:pPr>
      <w:r w:rsidRPr="00AF55A3">
        <w:rPr>
          <w:rFonts w:ascii="Times New Roman" w:hAnsi="Times New Roman" w:cs="Times New Roman"/>
          <w:sz w:val="24"/>
          <w:szCs w:val="24"/>
        </w:rPr>
        <w:tab/>
        <w:t xml:space="preserve">These are the </w:t>
      </w:r>
      <w:r w:rsidR="00B47725">
        <w:rPr>
          <w:rFonts w:ascii="Times New Roman" w:hAnsi="Times New Roman" w:cs="Times New Roman"/>
          <w:sz w:val="24"/>
          <w:szCs w:val="24"/>
        </w:rPr>
        <w:t xml:space="preserve">most direct competitors </w:t>
      </w:r>
      <w:r w:rsidRPr="00AF55A3">
        <w:rPr>
          <w:rFonts w:ascii="Times New Roman" w:hAnsi="Times New Roman" w:cs="Times New Roman"/>
          <w:sz w:val="24"/>
          <w:szCs w:val="24"/>
        </w:rPr>
        <w:t xml:space="preserve">for liberal arts colleges.  Yet, the declension literature scarcely mentions them.  Ferrall devotes a good deal </w:t>
      </w:r>
      <w:r w:rsidR="00452BAF">
        <w:rPr>
          <w:rFonts w:ascii="Times New Roman" w:hAnsi="Times New Roman" w:cs="Times New Roman"/>
          <w:sz w:val="24"/>
          <w:szCs w:val="24"/>
        </w:rPr>
        <w:t xml:space="preserve">of attention to the “threat” that </w:t>
      </w:r>
      <w:r w:rsidRPr="00AF55A3">
        <w:rPr>
          <w:rFonts w:ascii="Times New Roman" w:hAnsi="Times New Roman" w:cs="Times New Roman"/>
          <w:sz w:val="24"/>
          <w:szCs w:val="24"/>
        </w:rPr>
        <w:t xml:space="preserve">publically subsidized universities </w:t>
      </w:r>
      <w:r w:rsidR="00452BAF">
        <w:rPr>
          <w:rFonts w:ascii="Times New Roman" w:hAnsi="Times New Roman" w:cs="Times New Roman"/>
          <w:sz w:val="24"/>
          <w:szCs w:val="24"/>
        </w:rPr>
        <w:t xml:space="preserve">pose for </w:t>
      </w:r>
      <w:r w:rsidRPr="00AF55A3">
        <w:rPr>
          <w:rFonts w:ascii="Times New Roman" w:hAnsi="Times New Roman" w:cs="Times New Roman"/>
          <w:sz w:val="24"/>
          <w:szCs w:val="24"/>
        </w:rPr>
        <w:t>private liberal arts colleges, but he nowhere mentions  Honors Programs.</w:t>
      </w:r>
      <w:r w:rsidRPr="00AF55A3">
        <w:rPr>
          <w:rStyle w:val="FootnoteReference"/>
          <w:rFonts w:cs="Times New Roman"/>
          <w:sz w:val="24"/>
          <w:szCs w:val="24"/>
        </w:rPr>
        <w:footnoteReference w:id="64"/>
      </w:r>
      <w:r w:rsidRPr="00AF55A3">
        <w:rPr>
          <w:rFonts w:ascii="Times New Roman" w:hAnsi="Times New Roman" w:cs="Times New Roman"/>
          <w:sz w:val="24"/>
          <w:szCs w:val="24"/>
        </w:rPr>
        <w:t xml:space="preserve"> </w:t>
      </w:r>
      <w:r w:rsidR="000E3792" w:rsidRPr="00AF55A3">
        <w:rPr>
          <w:rFonts w:ascii="Times New Roman" w:hAnsi="Times New Roman" w:cs="Times New Roman"/>
          <w:sz w:val="24"/>
          <w:szCs w:val="24"/>
        </w:rPr>
        <w:t xml:space="preserve"> They </w:t>
      </w:r>
      <w:r w:rsidR="00833905" w:rsidRPr="00AF55A3">
        <w:rPr>
          <w:rFonts w:ascii="Times New Roman" w:hAnsi="Times New Roman" w:cs="Times New Roman"/>
          <w:sz w:val="24"/>
          <w:szCs w:val="24"/>
        </w:rPr>
        <w:t xml:space="preserve">are overlooked because the declension literature assumes that </w:t>
      </w:r>
      <w:r w:rsidR="00B71115">
        <w:rPr>
          <w:rFonts w:ascii="Times New Roman" w:hAnsi="Times New Roman" w:cs="Times New Roman"/>
          <w:sz w:val="24"/>
          <w:szCs w:val="24"/>
        </w:rPr>
        <w:t>decreasing</w:t>
      </w:r>
      <w:r w:rsidR="00833905" w:rsidRPr="00AF55A3">
        <w:rPr>
          <w:rFonts w:ascii="Times New Roman" w:hAnsi="Times New Roman" w:cs="Times New Roman"/>
          <w:sz w:val="24"/>
          <w:szCs w:val="24"/>
        </w:rPr>
        <w:t xml:space="preserve"> enrollment in liberal arts colleges means a de</w:t>
      </w:r>
      <w:r w:rsidR="00B71115">
        <w:rPr>
          <w:rFonts w:ascii="Times New Roman" w:hAnsi="Times New Roman" w:cs="Times New Roman"/>
          <w:sz w:val="24"/>
          <w:szCs w:val="24"/>
        </w:rPr>
        <w:t>creasing</w:t>
      </w:r>
      <w:r w:rsidR="00833905" w:rsidRPr="00AF55A3">
        <w:rPr>
          <w:rFonts w:ascii="Times New Roman" w:hAnsi="Times New Roman" w:cs="Times New Roman"/>
          <w:sz w:val="24"/>
          <w:szCs w:val="24"/>
        </w:rPr>
        <w:t xml:space="preserve"> number of liberal arts students overall.  In this fashion, the declension </w:t>
      </w:r>
      <w:r w:rsidR="00844544">
        <w:rPr>
          <w:rFonts w:ascii="Times New Roman" w:hAnsi="Times New Roman" w:cs="Times New Roman"/>
          <w:sz w:val="24"/>
          <w:szCs w:val="24"/>
        </w:rPr>
        <w:t>literature</w:t>
      </w:r>
      <w:r w:rsidR="00833905" w:rsidRPr="00AF55A3">
        <w:rPr>
          <w:rFonts w:ascii="Times New Roman" w:hAnsi="Times New Roman" w:cs="Times New Roman"/>
          <w:sz w:val="24"/>
          <w:szCs w:val="24"/>
        </w:rPr>
        <w:t xml:space="preserve"> undercounts the actual </w:t>
      </w:r>
      <w:r w:rsidR="00452BAF">
        <w:rPr>
          <w:rFonts w:ascii="Times New Roman" w:hAnsi="Times New Roman" w:cs="Times New Roman"/>
          <w:sz w:val="24"/>
          <w:szCs w:val="24"/>
        </w:rPr>
        <w:t xml:space="preserve">number </w:t>
      </w:r>
      <w:r w:rsidR="00833905" w:rsidRPr="00AF55A3">
        <w:rPr>
          <w:rFonts w:ascii="Times New Roman" w:hAnsi="Times New Roman" w:cs="Times New Roman"/>
          <w:sz w:val="24"/>
          <w:szCs w:val="24"/>
        </w:rPr>
        <w:t>of liberal arts students.</w:t>
      </w:r>
    </w:p>
    <w:p w:rsidR="00833905" w:rsidRPr="00AF55A3" w:rsidRDefault="002257B2" w:rsidP="00AF1BFD">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657BBD">
        <w:rPr>
          <w:rFonts w:ascii="Times New Roman" w:hAnsi="Times New Roman" w:cs="Times New Roman"/>
          <w:sz w:val="24"/>
          <w:szCs w:val="24"/>
        </w:rPr>
        <w:t xml:space="preserve">In the last four decades, the enrollment </w:t>
      </w:r>
      <w:r w:rsidR="005E7046" w:rsidRPr="00AF55A3">
        <w:rPr>
          <w:rFonts w:ascii="Times New Roman" w:hAnsi="Times New Roman" w:cs="Times New Roman"/>
          <w:sz w:val="24"/>
          <w:szCs w:val="24"/>
        </w:rPr>
        <w:t>of liberal arts stude</w:t>
      </w:r>
      <w:r w:rsidR="00833905" w:rsidRPr="00AF55A3">
        <w:rPr>
          <w:rFonts w:ascii="Times New Roman" w:hAnsi="Times New Roman" w:cs="Times New Roman"/>
          <w:sz w:val="24"/>
          <w:szCs w:val="24"/>
        </w:rPr>
        <w:t xml:space="preserve">nts </w:t>
      </w:r>
      <w:r>
        <w:rPr>
          <w:rFonts w:ascii="Times New Roman" w:hAnsi="Times New Roman" w:cs="Times New Roman"/>
          <w:sz w:val="24"/>
          <w:szCs w:val="24"/>
        </w:rPr>
        <w:t xml:space="preserve">has not been dropping but </w:t>
      </w:r>
      <w:r w:rsidRPr="002257B2">
        <w:rPr>
          <w:rFonts w:ascii="Times New Roman" w:hAnsi="Times New Roman" w:cs="Times New Roman"/>
          <w:i/>
          <w:sz w:val="24"/>
          <w:szCs w:val="24"/>
        </w:rPr>
        <w:t>shifting</w:t>
      </w:r>
      <w:r>
        <w:rPr>
          <w:rFonts w:ascii="Times New Roman" w:hAnsi="Times New Roman" w:cs="Times New Roman"/>
          <w:sz w:val="24"/>
          <w:szCs w:val="24"/>
        </w:rPr>
        <w:t xml:space="preserve"> </w:t>
      </w:r>
      <w:r w:rsidRPr="00F51AD1">
        <w:rPr>
          <w:rFonts w:ascii="Times New Roman" w:hAnsi="Times New Roman" w:cs="Times New Roman"/>
          <w:sz w:val="24"/>
          <w:szCs w:val="24"/>
        </w:rPr>
        <w:t xml:space="preserve">from liberal arts colleges to their counterpart in universities--the </w:t>
      </w:r>
      <w:r w:rsidR="00657BBD">
        <w:rPr>
          <w:rFonts w:ascii="Times New Roman" w:hAnsi="Times New Roman" w:cs="Times New Roman"/>
          <w:sz w:val="24"/>
          <w:szCs w:val="24"/>
        </w:rPr>
        <w:t>honors p</w:t>
      </w:r>
      <w:r w:rsidRPr="00F51AD1">
        <w:rPr>
          <w:rFonts w:ascii="Times New Roman" w:hAnsi="Times New Roman" w:cs="Times New Roman"/>
          <w:sz w:val="24"/>
          <w:szCs w:val="24"/>
        </w:rPr>
        <w:t xml:space="preserve">rograms and </w:t>
      </w:r>
      <w:r w:rsidR="00657BBD">
        <w:rPr>
          <w:rFonts w:ascii="Times New Roman" w:hAnsi="Times New Roman" w:cs="Times New Roman"/>
          <w:sz w:val="24"/>
          <w:szCs w:val="24"/>
        </w:rPr>
        <w:t>c</w:t>
      </w:r>
      <w:r w:rsidRPr="00F51AD1">
        <w:rPr>
          <w:rFonts w:ascii="Times New Roman" w:hAnsi="Times New Roman" w:cs="Times New Roman"/>
          <w:sz w:val="24"/>
          <w:szCs w:val="24"/>
        </w:rPr>
        <w:t>olleges.</w:t>
      </w:r>
      <w:r>
        <w:rPr>
          <w:rFonts w:ascii="Times New Roman" w:hAnsi="Times New Roman" w:cs="Times New Roman"/>
          <w:sz w:val="24"/>
          <w:szCs w:val="24"/>
        </w:rPr>
        <w:t xml:space="preserve">  </w:t>
      </w:r>
      <w:r w:rsidR="00833905" w:rsidRPr="00AF55A3">
        <w:rPr>
          <w:rFonts w:ascii="Times New Roman" w:hAnsi="Times New Roman" w:cs="Times New Roman"/>
          <w:sz w:val="24"/>
          <w:szCs w:val="24"/>
        </w:rPr>
        <w:t xml:space="preserve">This </w:t>
      </w:r>
      <w:r>
        <w:rPr>
          <w:rFonts w:ascii="Times New Roman" w:hAnsi="Times New Roman" w:cs="Times New Roman"/>
          <w:sz w:val="24"/>
          <w:szCs w:val="24"/>
        </w:rPr>
        <w:t xml:space="preserve">shift </w:t>
      </w:r>
      <w:r w:rsidR="00657BBD">
        <w:rPr>
          <w:rFonts w:ascii="Times New Roman" w:hAnsi="Times New Roman" w:cs="Times New Roman"/>
          <w:sz w:val="24"/>
          <w:szCs w:val="24"/>
        </w:rPr>
        <w:t xml:space="preserve">means that the percentage of students enrolled at liberal arts colleges or their </w:t>
      </w:r>
      <w:r w:rsidR="00657BBD">
        <w:rPr>
          <w:rFonts w:ascii="Times New Roman" w:hAnsi="Times New Roman" w:cs="Times New Roman"/>
          <w:sz w:val="24"/>
          <w:szCs w:val="24"/>
        </w:rPr>
        <w:lastRenderedPageBreak/>
        <w:t xml:space="preserve">counterparts among the total population has held to the historical norm.  The shift also </w:t>
      </w:r>
      <w:r w:rsidR="00833905" w:rsidRPr="00AF55A3">
        <w:rPr>
          <w:rFonts w:ascii="Times New Roman" w:hAnsi="Times New Roman" w:cs="Times New Roman"/>
          <w:sz w:val="24"/>
          <w:szCs w:val="24"/>
        </w:rPr>
        <w:t>help</w:t>
      </w:r>
      <w:r>
        <w:rPr>
          <w:rFonts w:ascii="Times New Roman" w:hAnsi="Times New Roman" w:cs="Times New Roman"/>
          <w:sz w:val="24"/>
          <w:szCs w:val="24"/>
        </w:rPr>
        <w:t>s</w:t>
      </w:r>
      <w:r w:rsidR="00833905" w:rsidRPr="00AF55A3">
        <w:rPr>
          <w:rFonts w:ascii="Times New Roman" w:hAnsi="Times New Roman" w:cs="Times New Roman"/>
          <w:sz w:val="24"/>
          <w:szCs w:val="24"/>
        </w:rPr>
        <w:t xml:space="preserve"> to explain why liberal arts colleges do not recover after one of the epi</w:t>
      </w:r>
      <w:r w:rsidR="00657BBD">
        <w:rPr>
          <w:rFonts w:ascii="Times New Roman" w:hAnsi="Times New Roman" w:cs="Times New Roman"/>
          <w:sz w:val="24"/>
          <w:szCs w:val="24"/>
        </w:rPr>
        <w:t>sodic periods of decline.  The h</w:t>
      </w:r>
      <w:r w:rsidR="00833905" w:rsidRPr="00AF55A3">
        <w:rPr>
          <w:rFonts w:ascii="Times New Roman" w:hAnsi="Times New Roman" w:cs="Times New Roman"/>
          <w:sz w:val="24"/>
          <w:szCs w:val="24"/>
        </w:rPr>
        <w:t xml:space="preserve">onors </w:t>
      </w:r>
      <w:r w:rsidR="00657BBD">
        <w:rPr>
          <w:rFonts w:ascii="Times New Roman" w:hAnsi="Times New Roman" w:cs="Times New Roman"/>
          <w:sz w:val="24"/>
          <w:szCs w:val="24"/>
        </w:rPr>
        <w:t>p</w:t>
      </w:r>
      <w:r w:rsidR="00833905" w:rsidRPr="00AF55A3">
        <w:rPr>
          <w:rFonts w:ascii="Times New Roman" w:hAnsi="Times New Roman" w:cs="Times New Roman"/>
          <w:sz w:val="24"/>
          <w:szCs w:val="24"/>
        </w:rPr>
        <w:t>rograms absorb the lost enrollment of the colleges.</w:t>
      </w:r>
    </w:p>
    <w:p w:rsidR="002C5330" w:rsidRDefault="00833905" w:rsidP="00AF1BFD">
      <w:pPr>
        <w:spacing w:line="480" w:lineRule="auto"/>
        <w:jc w:val="left"/>
        <w:rPr>
          <w:rFonts w:ascii="Times New Roman" w:hAnsi="Times New Roman" w:cs="Times New Roman"/>
          <w:sz w:val="24"/>
          <w:szCs w:val="24"/>
        </w:rPr>
      </w:pPr>
      <w:r w:rsidRPr="00AF55A3">
        <w:rPr>
          <w:rFonts w:ascii="Times New Roman" w:hAnsi="Times New Roman" w:cs="Times New Roman"/>
          <w:sz w:val="24"/>
          <w:szCs w:val="24"/>
        </w:rPr>
        <w:tab/>
        <w:t xml:space="preserve">If this is the case, then much of the </w:t>
      </w:r>
      <w:r w:rsidR="000E3792" w:rsidRPr="00AF55A3">
        <w:rPr>
          <w:rFonts w:ascii="Times New Roman" w:hAnsi="Times New Roman" w:cs="Times New Roman"/>
          <w:sz w:val="24"/>
          <w:szCs w:val="24"/>
        </w:rPr>
        <w:t>anxiety</w:t>
      </w:r>
      <w:r w:rsidRPr="00AF55A3">
        <w:rPr>
          <w:rFonts w:ascii="Times New Roman" w:hAnsi="Times New Roman" w:cs="Times New Roman"/>
          <w:sz w:val="24"/>
          <w:szCs w:val="24"/>
        </w:rPr>
        <w:t xml:space="preserve"> about declining interest in the liberal arts is </w:t>
      </w:r>
      <w:r w:rsidR="002257B2">
        <w:rPr>
          <w:rFonts w:ascii="Times New Roman" w:hAnsi="Times New Roman" w:cs="Times New Roman"/>
          <w:sz w:val="24"/>
          <w:szCs w:val="24"/>
        </w:rPr>
        <w:t>unwarranted</w:t>
      </w:r>
      <w:r w:rsidR="00670AAA" w:rsidRPr="00AF55A3">
        <w:rPr>
          <w:rFonts w:ascii="Times New Roman" w:hAnsi="Times New Roman" w:cs="Times New Roman"/>
          <w:sz w:val="24"/>
          <w:szCs w:val="24"/>
        </w:rPr>
        <w:t xml:space="preserve">.  </w:t>
      </w:r>
      <w:r w:rsidR="00C869D8" w:rsidRPr="00AF55A3">
        <w:rPr>
          <w:rFonts w:ascii="Times New Roman" w:hAnsi="Times New Roman" w:cs="Times New Roman"/>
          <w:sz w:val="24"/>
          <w:szCs w:val="24"/>
        </w:rPr>
        <w:t>Over the last 40 years, l</w:t>
      </w:r>
      <w:r w:rsidR="00670AAA" w:rsidRPr="00AF55A3">
        <w:rPr>
          <w:rFonts w:ascii="Times New Roman" w:hAnsi="Times New Roman" w:cs="Times New Roman"/>
          <w:sz w:val="24"/>
          <w:szCs w:val="24"/>
        </w:rPr>
        <w:t>iberal arts students have continued to enroll at roughly their historical</w:t>
      </w:r>
      <w:r w:rsidR="00185E32">
        <w:rPr>
          <w:rFonts w:ascii="Times New Roman" w:hAnsi="Times New Roman" w:cs="Times New Roman"/>
          <w:sz w:val="24"/>
          <w:szCs w:val="24"/>
        </w:rPr>
        <w:t xml:space="preserve"> rate of </w:t>
      </w:r>
      <w:r w:rsidR="000E3792" w:rsidRPr="00AF55A3">
        <w:rPr>
          <w:rFonts w:ascii="Times New Roman" w:hAnsi="Times New Roman" w:cs="Times New Roman"/>
          <w:sz w:val="24"/>
          <w:szCs w:val="24"/>
        </w:rPr>
        <w:t xml:space="preserve">between 0.1 and 0.2 </w:t>
      </w:r>
      <w:r w:rsidR="00185E32">
        <w:rPr>
          <w:rFonts w:ascii="Times New Roman" w:hAnsi="Times New Roman" w:cs="Times New Roman"/>
          <w:sz w:val="24"/>
          <w:szCs w:val="24"/>
        </w:rPr>
        <w:t xml:space="preserve">percent </w:t>
      </w:r>
      <w:r w:rsidR="000E3792" w:rsidRPr="00AF55A3">
        <w:rPr>
          <w:rFonts w:ascii="Times New Roman" w:hAnsi="Times New Roman" w:cs="Times New Roman"/>
          <w:sz w:val="24"/>
          <w:szCs w:val="24"/>
        </w:rPr>
        <w:t>of the</w:t>
      </w:r>
      <w:r w:rsidR="00670AAA" w:rsidRPr="00AF55A3">
        <w:rPr>
          <w:rFonts w:ascii="Times New Roman" w:hAnsi="Times New Roman" w:cs="Times New Roman"/>
          <w:sz w:val="24"/>
          <w:szCs w:val="24"/>
        </w:rPr>
        <w:t xml:space="preserve"> population.  </w:t>
      </w:r>
      <w:r w:rsidR="005D7DD5" w:rsidRPr="0062092F">
        <w:rPr>
          <w:rFonts w:ascii="Times New Roman" w:hAnsi="Times New Roman" w:cs="Times New Roman"/>
          <w:sz w:val="24"/>
          <w:szCs w:val="24"/>
        </w:rPr>
        <w:t>But that consistent fraction has divided into two hemispheres, as liberal arts colleges have suffered economic reverses for various reasons,</w:t>
      </w:r>
      <w:r w:rsidR="005D7DD5">
        <w:rPr>
          <w:rFonts w:ascii="Times New Roman" w:hAnsi="Times New Roman" w:cs="Times New Roman"/>
          <w:sz w:val="24"/>
          <w:szCs w:val="24"/>
        </w:rPr>
        <w:t xml:space="preserve"> and </w:t>
      </w:r>
      <w:r w:rsidR="005D7DD5" w:rsidRPr="0062092F">
        <w:rPr>
          <w:rFonts w:ascii="Times New Roman" w:hAnsi="Times New Roman" w:cs="Times New Roman"/>
          <w:sz w:val="24"/>
          <w:szCs w:val="24"/>
        </w:rPr>
        <w:t xml:space="preserve">a few hundred honors programs at universities have supplanted a few </w:t>
      </w:r>
      <w:r w:rsidR="005D7DD5" w:rsidRPr="005D7DD5">
        <w:rPr>
          <w:rFonts w:ascii="Times New Roman" w:hAnsi="Times New Roman" w:cs="Times New Roman"/>
          <w:sz w:val="24"/>
          <w:szCs w:val="24"/>
        </w:rPr>
        <w:t>hundred liberal arts colleges.  As a result, liberal arts education is increasingly distributed into  sector of well</w:t>
      </w:r>
      <w:r w:rsidR="005D7DD5">
        <w:rPr>
          <w:rFonts w:ascii="Times New Roman" w:hAnsi="Times New Roman" w:cs="Times New Roman"/>
          <w:sz w:val="24"/>
          <w:szCs w:val="24"/>
        </w:rPr>
        <w:t xml:space="preserve"> </w:t>
      </w:r>
      <w:r w:rsidR="005D7DD5" w:rsidRPr="005D7DD5">
        <w:rPr>
          <w:rFonts w:ascii="Times New Roman" w:hAnsi="Times New Roman" w:cs="Times New Roman"/>
          <w:sz w:val="24"/>
          <w:szCs w:val="24"/>
        </w:rPr>
        <w:t xml:space="preserve">endowed liberal arts colleges and a sector of </w:t>
      </w:r>
      <w:r w:rsidR="005D7DD5">
        <w:rPr>
          <w:rFonts w:ascii="Times New Roman" w:hAnsi="Times New Roman" w:cs="Times New Roman"/>
          <w:sz w:val="24"/>
          <w:szCs w:val="24"/>
        </w:rPr>
        <w:t xml:space="preserve">highly </w:t>
      </w:r>
      <w:r w:rsidR="005D7DD5" w:rsidRPr="005D7DD5">
        <w:rPr>
          <w:rFonts w:ascii="Times New Roman" w:hAnsi="Times New Roman" w:cs="Times New Roman"/>
          <w:sz w:val="24"/>
          <w:szCs w:val="24"/>
        </w:rPr>
        <w:t>subsidized honors programs at universities.</w:t>
      </w:r>
    </w:p>
    <w:p w:rsidR="000B6156" w:rsidRDefault="005D7DD5" w:rsidP="00AF1BFD">
      <w:pPr>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The socio-economic implications </w:t>
      </w:r>
      <w:r w:rsidR="00010C56">
        <w:rPr>
          <w:rFonts w:ascii="Times New Roman" w:hAnsi="Times New Roman" w:cs="Times New Roman"/>
          <w:sz w:val="24"/>
          <w:szCs w:val="24"/>
        </w:rPr>
        <w:t>of this redistribution deserve careful study.</w:t>
      </w:r>
      <w:r>
        <w:rPr>
          <w:rFonts w:ascii="Times New Roman" w:hAnsi="Times New Roman" w:cs="Times New Roman"/>
          <w:sz w:val="24"/>
          <w:szCs w:val="24"/>
        </w:rPr>
        <w:t xml:space="preserve">  This redistribution into two wealthy sectors might appear to s</w:t>
      </w:r>
      <w:r w:rsidR="00010C56">
        <w:rPr>
          <w:rFonts w:ascii="Times New Roman" w:hAnsi="Times New Roman" w:cs="Times New Roman"/>
          <w:sz w:val="24"/>
          <w:szCs w:val="24"/>
        </w:rPr>
        <w:t>erve the interests of the rich</w:t>
      </w:r>
      <w:r>
        <w:rPr>
          <w:rFonts w:ascii="Times New Roman" w:hAnsi="Times New Roman" w:cs="Times New Roman"/>
          <w:sz w:val="24"/>
          <w:szCs w:val="24"/>
        </w:rPr>
        <w:t xml:space="preserve">.  But, as Ferrall astutely </w:t>
      </w:r>
      <w:r w:rsidR="00981F78">
        <w:rPr>
          <w:rFonts w:ascii="Times New Roman" w:hAnsi="Times New Roman" w:cs="Times New Roman"/>
          <w:sz w:val="24"/>
          <w:szCs w:val="24"/>
        </w:rPr>
        <w:t xml:space="preserve">suggested, the average family income of undergraduate students in flagship state institutions is higher than that in endowed institutions in every state in which a comparative study has been done.  Hence, </w:t>
      </w:r>
      <w:r w:rsidR="00010C56">
        <w:rPr>
          <w:rFonts w:ascii="Times New Roman" w:hAnsi="Times New Roman" w:cs="Times New Roman"/>
          <w:sz w:val="24"/>
          <w:szCs w:val="24"/>
        </w:rPr>
        <w:t xml:space="preserve">well endowed </w:t>
      </w:r>
      <w:r w:rsidR="00981F78">
        <w:rPr>
          <w:rFonts w:ascii="Times New Roman" w:hAnsi="Times New Roman" w:cs="Times New Roman"/>
          <w:sz w:val="24"/>
          <w:szCs w:val="24"/>
        </w:rPr>
        <w:t xml:space="preserve">liberal arts </w:t>
      </w:r>
      <w:r w:rsidR="00010C56">
        <w:rPr>
          <w:rFonts w:ascii="Times New Roman" w:hAnsi="Times New Roman" w:cs="Times New Roman"/>
          <w:sz w:val="24"/>
          <w:szCs w:val="24"/>
        </w:rPr>
        <w:t xml:space="preserve">colleges </w:t>
      </w:r>
      <w:r w:rsidR="00981F78">
        <w:rPr>
          <w:rFonts w:ascii="Times New Roman" w:hAnsi="Times New Roman" w:cs="Times New Roman"/>
          <w:sz w:val="24"/>
          <w:szCs w:val="24"/>
        </w:rPr>
        <w:t xml:space="preserve">may contribute more to socio-economic opportunity than does </w:t>
      </w:r>
      <w:r w:rsidR="00033480">
        <w:rPr>
          <w:rFonts w:ascii="Times New Roman" w:hAnsi="Times New Roman" w:cs="Times New Roman"/>
          <w:sz w:val="24"/>
          <w:szCs w:val="24"/>
        </w:rPr>
        <w:t xml:space="preserve">the reduced </w:t>
      </w:r>
      <w:r w:rsidR="00981F78">
        <w:rPr>
          <w:rFonts w:ascii="Times New Roman" w:hAnsi="Times New Roman" w:cs="Times New Roman"/>
          <w:sz w:val="24"/>
          <w:szCs w:val="24"/>
        </w:rPr>
        <w:t xml:space="preserve">tuition at </w:t>
      </w:r>
      <w:r w:rsidR="00033480">
        <w:rPr>
          <w:rFonts w:ascii="Times New Roman" w:hAnsi="Times New Roman" w:cs="Times New Roman"/>
          <w:sz w:val="24"/>
          <w:szCs w:val="24"/>
        </w:rPr>
        <w:t>leading state universities.</w:t>
      </w:r>
      <w:r w:rsidR="000B6156">
        <w:rPr>
          <w:rStyle w:val="FootnoteReference"/>
          <w:rFonts w:cs="Times New Roman"/>
          <w:szCs w:val="24"/>
        </w:rPr>
        <w:footnoteReference w:id="65"/>
      </w:r>
    </w:p>
    <w:p w:rsidR="00530C62" w:rsidRPr="00AF55A3" w:rsidRDefault="00033480" w:rsidP="00AF1BFD">
      <w:pPr>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Be that as it may, </w:t>
      </w:r>
      <w:r w:rsidR="00530C62" w:rsidRPr="00AF55A3">
        <w:rPr>
          <w:rFonts w:ascii="Times New Roman" w:hAnsi="Times New Roman" w:cs="Times New Roman"/>
          <w:sz w:val="24"/>
          <w:szCs w:val="24"/>
        </w:rPr>
        <w:t>what can be concluded about the declension narrative, the liberal arts college, and the university?</w:t>
      </w:r>
      <w:r w:rsidR="00C869D8" w:rsidRPr="00AF55A3">
        <w:rPr>
          <w:rFonts w:ascii="Times New Roman" w:hAnsi="Times New Roman" w:cs="Times New Roman"/>
          <w:sz w:val="24"/>
          <w:szCs w:val="24"/>
        </w:rPr>
        <w:t xml:space="preserve">  </w:t>
      </w:r>
      <w:r w:rsidR="00530C62" w:rsidRPr="00AF55A3">
        <w:rPr>
          <w:rFonts w:ascii="Times New Roman" w:hAnsi="Times New Roman" w:cs="Times New Roman"/>
          <w:sz w:val="24"/>
          <w:szCs w:val="24"/>
        </w:rPr>
        <w:t xml:space="preserve">Ironically, it </w:t>
      </w:r>
      <w:r w:rsidR="00C869D8" w:rsidRPr="00AF55A3">
        <w:rPr>
          <w:rFonts w:ascii="Times New Roman" w:hAnsi="Times New Roman" w:cs="Times New Roman"/>
          <w:sz w:val="24"/>
          <w:szCs w:val="24"/>
        </w:rPr>
        <w:t xml:space="preserve">would </w:t>
      </w:r>
      <w:r w:rsidR="00530C62" w:rsidRPr="00AF55A3">
        <w:rPr>
          <w:rFonts w:ascii="Times New Roman" w:hAnsi="Times New Roman" w:cs="Times New Roman"/>
          <w:sz w:val="24"/>
          <w:szCs w:val="24"/>
        </w:rPr>
        <w:t>appear that</w:t>
      </w:r>
      <w:r w:rsidR="00010C56">
        <w:rPr>
          <w:rFonts w:ascii="Times New Roman" w:hAnsi="Times New Roman" w:cs="Times New Roman"/>
          <w:sz w:val="24"/>
          <w:szCs w:val="24"/>
        </w:rPr>
        <w:t xml:space="preserve"> the university prophets </w:t>
      </w:r>
      <w:r w:rsidR="00530C62" w:rsidRPr="00AF55A3">
        <w:rPr>
          <w:rFonts w:ascii="Times New Roman" w:hAnsi="Times New Roman" w:cs="Times New Roman"/>
          <w:sz w:val="24"/>
          <w:szCs w:val="24"/>
        </w:rPr>
        <w:t>were right, but for the wrong reason.</w:t>
      </w:r>
      <w:r w:rsidR="00C869D8" w:rsidRPr="00AF55A3">
        <w:rPr>
          <w:rFonts w:ascii="Times New Roman" w:hAnsi="Times New Roman" w:cs="Times New Roman"/>
          <w:sz w:val="24"/>
          <w:szCs w:val="24"/>
        </w:rPr>
        <w:t xml:space="preserve">  Yes, the universit</w:t>
      </w:r>
      <w:r w:rsidR="003B4505" w:rsidRPr="00AF55A3">
        <w:rPr>
          <w:rFonts w:ascii="Times New Roman" w:hAnsi="Times New Roman" w:cs="Times New Roman"/>
          <w:sz w:val="24"/>
          <w:szCs w:val="24"/>
        </w:rPr>
        <w:t xml:space="preserve">ies </w:t>
      </w:r>
      <w:r w:rsidR="00C869D8" w:rsidRPr="00AF55A3">
        <w:rPr>
          <w:rFonts w:ascii="Times New Roman" w:hAnsi="Times New Roman" w:cs="Times New Roman"/>
          <w:sz w:val="24"/>
          <w:szCs w:val="24"/>
        </w:rPr>
        <w:t>ha</w:t>
      </w:r>
      <w:r w:rsidR="003B4505" w:rsidRPr="00AF55A3">
        <w:rPr>
          <w:rFonts w:ascii="Times New Roman" w:hAnsi="Times New Roman" w:cs="Times New Roman"/>
          <w:sz w:val="24"/>
          <w:szCs w:val="24"/>
        </w:rPr>
        <w:t>ve</w:t>
      </w:r>
      <w:r w:rsidR="00530C62" w:rsidRPr="00AF55A3">
        <w:rPr>
          <w:rFonts w:ascii="Times New Roman" w:hAnsi="Times New Roman" w:cs="Times New Roman"/>
          <w:sz w:val="24"/>
          <w:szCs w:val="24"/>
        </w:rPr>
        <w:t xml:space="preserve"> displac</w:t>
      </w:r>
      <w:r w:rsidR="00C869D8" w:rsidRPr="00AF55A3">
        <w:rPr>
          <w:rFonts w:ascii="Times New Roman" w:hAnsi="Times New Roman" w:cs="Times New Roman"/>
          <w:sz w:val="24"/>
          <w:szCs w:val="24"/>
        </w:rPr>
        <w:t>ed</w:t>
      </w:r>
      <w:r w:rsidR="00530C62" w:rsidRPr="00AF55A3">
        <w:rPr>
          <w:rFonts w:ascii="Times New Roman" w:hAnsi="Times New Roman" w:cs="Times New Roman"/>
          <w:sz w:val="24"/>
          <w:szCs w:val="24"/>
        </w:rPr>
        <w:t xml:space="preserve"> </w:t>
      </w:r>
      <w:r w:rsidR="003B4505" w:rsidRPr="00AF55A3">
        <w:rPr>
          <w:rFonts w:ascii="Times New Roman" w:hAnsi="Times New Roman" w:cs="Times New Roman"/>
          <w:sz w:val="24"/>
          <w:szCs w:val="24"/>
        </w:rPr>
        <w:t>many</w:t>
      </w:r>
      <w:r w:rsidR="00530C62" w:rsidRPr="00AF55A3">
        <w:rPr>
          <w:rFonts w:ascii="Times New Roman" w:hAnsi="Times New Roman" w:cs="Times New Roman"/>
          <w:sz w:val="24"/>
          <w:szCs w:val="24"/>
        </w:rPr>
        <w:t xml:space="preserve"> liberal arts college</w:t>
      </w:r>
      <w:r w:rsidR="003B4505" w:rsidRPr="00AF55A3">
        <w:rPr>
          <w:rFonts w:ascii="Times New Roman" w:hAnsi="Times New Roman" w:cs="Times New Roman"/>
          <w:sz w:val="24"/>
          <w:szCs w:val="24"/>
        </w:rPr>
        <w:t>s</w:t>
      </w:r>
      <w:r w:rsidR="00530C62" w:rsidRPr="00AF55A3">
        <w:rPr>
          <w:rFonts w:ascii="Times New Roman" w:hAnsi="Times New Roman" w:cs="Times New Roman"/>
          <w:sz w:val="24"/>
          <w:szCs w:val="24"/>
        </w:rPr>
        <w:t>.</w:t>
      </w:r>
      <w:r w:rsidR="00C869D8" w:rsidRPr="00AF55A3">
        <w:rPr>
          <w:rFonts w:ascii="Times New Roman" w:hAnsi="Times New Roman" w:cs="Times New Roman"/>
          <w:sz w:val="24"/>
          <w:szCs w:val="24"/>
        </w:rPr>
        <w:t xml:space="preserve">  </w:t>
      </w:r>
      <w:r w:rsidR="00530C62" w:rsidRPr="00AF55A3">
        <w:rPr>
          <w:rFonts w:ascii="Times New Roman" w:hAnsi="Times New Roman" w:cs="Times New Roman"/>
          <w:sz w:val="24"/>
          <w:szCs w:val="24"/>
        </w:rPr>
        <w:t>But the reason is not that it has been “largely a waste of capital to maintain [the colleges], and largely a waste of time to attend them,” as Burgess wrote.</w:t>
      </w:r>
      <w:r w:rsidR="00C869D8" w:rsidRPr="00AF55A3">
        <w:rPr>
          <w:rFonts w:ascii="Times New Roman" w:hAnsi="Times New Roman" w:cs="Times New Roman"/>
          <w:sz w:val="24"/>
          <w:szCs w:val="24"/>
        </w:rPr>
        <w:t xml:space="preserve">  </w:t>
      </w:r>
      <w:r w:rsidR="00530C62" w:rsidRPr="00AF55A3">
        <w:rPr>
          <w:rFonts w:ascii="Times New Roman" w:hAnsi="Times New Roman" w:cs="Times New Roman"/>
          <w:sz w:val="24"/>
          <w:szCs w:val="24"/>
        </w:rPr>
        <w:t xml:space="preserve">The reason is not that the colleges do not </w:t>
      </w:r>
      <w:r w:rsidR="00530C62" w:rsidRPr="00AF55A3">
        <w:rPr>
          <w:rFonts w:ascii="Times New Roman" w:hAnsi="Times New Roman" w:cs="Times New Roman"/>
          <w:sz w:val="24"/>
          <w:szCs w:val="24"/>
        </w:rPr>
        <w:lastRenderedPageBreak/>
        <w:t>“</w:t>
      </w:r>
      <w:r w:rsidR="00695E1C" w:rsidRPr="00AF55A3">
        <w:rPr>
          <w:rFonts w:ascii="Times New Roman" w:hAnsi="Times New Roman" w:cs="Times New Roman"/>
          <w:sz w:val="24"/>
          <w:szCs w:val="24"/>
        </w:rPr>
        <w:t>deserve to live” according to “t</w:t>
      </w:r>
      <w:r w:rsidR="00530C62" w:rsidRPr="00AF55A3">
        <w:rPr>
          <w:rFonts w:ascii="Times New Roman" w:hAnsi="Times New Roman" w:cs="Times New Roman"/>
          <w:sz w:val="24"/>
          <w:szCs w:val="24"/>
        </w:rPr>
        <w:t>he laws of institutional life,” as Harper maintained.</w:t>
      </w:r>
      <w:r w:rsidR="00DC54BD" w:rsidRPr="00AF55A3">
        <w:rPr>
          <w:rFonts w:ascii="Times New Roman" w:hAnsi="Times New Roman" w:cs="Times New Roman"/>
          <w:sz w:val="24"/>
          <w:szCs w:val="24"/>
        </w:rPr>
        <w:t xml:space="preserve">  </w:t>
      </w:r>
      <w:r w:rsidR="00530C62" w:rsidRPr="00AF55A3">
        <w:rPr>
          <w:rFonts w:ascii="Times New Roman" w:hAnsi="Times New Roman" w:cs="Times New Roman"/>
          <w:sz w:val="24"/>
          <w:szCs w:val="24"/>
        </w:rPr>
        <w:t>Nor is the reason that “the college is a small university, antiquated, belated, arrested, starved,” as Jordan stated.</w:t>
      </w:r>
    </w:p>
    <w:p w:rsidR="00D01DEB" w:rsidRPr="00AF55A3" w:rsidRDefault="00695E1C" w:rsidP="00AF1BFD">
      <w:pPr>
        <w:spacing w:line="480" w:lineRule="auto"/>
        <w:jc w:val="left"/>
        <w:rPr>
          <w:rFonts w:ascii="Times New Roman" w:hAnsi="Times New Roman" w:cs="Times New Roman"/>
          <w:sz w:val="24"/>
          <w:szCs w:val="24"/>
        </w:rPr>
      </w:pPr>
      <w:r w:rsidRPr="00AF55A3">
        <w:rPr>
          <w:rFonts w:ascii="Times New Roman" w:hAnsi="Times New Roman" w:cs="Times New Roman"/>
          <w:sz w:val="24"/>
          <w:szCs w:val="24"/>
        </w:rPr>
        <w:tab/>
        <w:t xml:space="preserve">In fact, the university has </w:t>
      </w:r>
      <w:r w:rsidR="00530C62" w:rsidRPr="00AF55A3">
        <w:rPr>
          <w:rFonts w:ascii="Times New Roman" w:hAnsi="Times New Roman" w:cs="Times New Roman"/>
          <w:sz w:val="24"/>
          <w:szCs w:val="24"/>
        </w:rPr>
        <w:t xml:space="preserve">triumphed, if it has, not by </w:t>
      </w:r>
      <w:r w:rsidR="00033480">
        <w:rPr>
          <w:rFonts w:ascii="Times New Roman" w:hAnsi="Times New Roman" w:cs="Times New Roman"/>
          <w:sz w:val="24"/>
          <w:szCs w:val="24"/>
        </w:rPr>
        <w:t xml:space="preserve">driving the </w:t>
      </w:r>
      <w:r w:rsidR="00530C62" w:rsidRPr="00AF55A3">
        <w:rPr>
          <w:rFonts w:ascii="Times New Roman" w:hAnsi="Times New Roman" w:cs="Times New Roman"/>
          <w:sz w:val="24"/>
          <w:szCs w:val="24"/>
        </w:rPr>
        <w:t>liberal arts college</w:t>
      </w:r>
      <w:r w:rsidR="00033480">
        <w:rPr>
          <w:rFonts w:ascii="Times New Roman" w:hAnsi="Times New Roman" w:cs="Times New Roman"/>
          <w:sz w:val="24"/>
          <w:szCs w:val="24"/>
        </w:rPr>
        <w:t xml:space="preserve"> into extinction</w:t>
      </w:r>
      <w:r w:rsidR="00530C62" w:rsidRPr="00AF55A3">
        <w:rPr>
          <w:rFonts w:ascii="Times New Roman" w:hAnsi="Times New Roman" w:cs="Times New Roman"/>
          <w:sz w:val="24"/>
          <w:szCs w:val="24"/>
        </w:rPr>
        <w:t>.</w:t>
      </w:r>
      <w:r w:rsidRPr="00AF55A3">
        <w:rPr>
          <w:rFonts w:ascii="Times New Roman" w:hAnsi="Times New Roman" w:cs="Times New Roman"/>
          <w:sz w:val="24"/>
          <w:szCs w:val="24"/>
        </w:rPr>
        <w:t xml:space="preserve">  </w:t>
      </w:r>
      <w:r w:rsidR="00530C62" w:rsidRPr="00AF55A3">
        <w:rPr>
          <w:rFonts w:ascii="Times New Roman" w:hAnsi="Times New Roman" w:cs="Times New Roman"/>
          <w:sz w:val="24"/>
          <w:szCs w:val="24"/>
        </w:rPr>
        <w:t xml:space="preserve">Rather, the university </w:t>
      </w:r>
      <w:r w:rsidR="00D01DEB" w:rsidRPr="00AF55A3">
        <w:rPr>
          <w:rFonts w:ascii="Times New Roman" w:hAnsi="Times New Roman" w:cs="Times New Roman"/>
          <w:sz w:val="24"/>
          <w:szCs w:val="24"/>
        </w:rPr>
        <w:t xml:space="preserve">has </w:t>
      </w:r>
      <w:r w:rsidR="00530C62" w:rsidRPr="00AF55A3">
        <w:rPr>
          <w:rFonts w:ascii="Times New Roman" w:hAnsi="Times New Roman" w:cs="Times New Roman"/>
          <w:sz w:val="24"/>
          <w:szCs w:val="24"/>
        </w:rPr>
        <w:t>a</w:t>
      </w:r>
      <w:r w:rsidR="00033480">
        <w:rPr>
          <w:rFonts w:ascii="Times New Roman" w:hAnsi="Times New Roman" w:cs="Times New Roman"/>
          <w:sz w:val="24"/>
          <w:szCs w:val="24"/>
        </w:rPr>
        <w:t xml:space="preserve">dapted </w:t>
      </w:r>
      <w:r w:rsidR="00530C62" w:rsidRPr="00AF55A3">
        <w:rPr>
          <w:rFonts w:ascii="Times New Roman" w:hAnsi="Times New Roman" w:cs="Times New Roman"/>
          <w:sz w:val="24"/>
          <w:szCs w:val="24"/>
        </w:rPr>
        <w:t>to the liberal arts college.</w:t>
      </w:r>
      <w:r w:rsidRPr="00AF55A3">
        <w:rPr>
          <w:rFonts w:ascii="Times New Roman" w:hAnsi="Times New Roman" w:cs="Times New Roman"/>
          <w:sz w:val="24"/>
          <w:szCs w:val="24"/>
        </w:rPr>
        <w:t xml:space="preserve">  </w:t>
      </w:r>
      <w:r w:rsidR="00530C62" w:rsidRPr="00AF55A3">
        <w:rPr>
          <w:rFonts w:ascii="Times New Roman" w:hAnsi="Times New Roman" w:cs="Times New Roman"/>
          <w:sz w:val="24"/>
          <w:szCs w:val="24"/>
        </w:rPr>
        <w:t>The declension narrative has proved correct, ironically</w:t>
      </w:r>
      <w:r w:rsidRPr="00AF55A3">
        <w:rPr>
          <w:rFonts w:ascii="Times New Roman" w:hAnsi="Times New Roman" w:cs="Times New Roman"/>
          <w:sz w:val="24"/>
          <w:szCs w:val="24"/>
        </w:rPr>
        <w:t>, because “t</w:t>
      </w:r>
      <w:r w:rsidR="00530C62" w:rsidRPr="00AF55A3">
        <w:rPr>
          <w:rFonts w:ascii="Times New Roman" w:hAnsi="Times New Roman" w:cs="Times New Roman"/>
          <w:sz w:val="24"/>
          <w:szCs w:val="24"/>
        </w:rPr>
        <w:t xml:space="preserve">he tug of the collegiate way was too strong,” </w:t>
      </w:r>
      <w:r w:rsidR="00530C62" w:rsidRPr="00F20849">
        <w:rPr>
          <w:rFonts w:ascii="Times New Roman" w:hAnsi="Times New Roman" w:cs="Times New Roman"/>
          <w:sz w:val="24"/>
          <w:szCs w:val="24"/>
        </w:rPr>
        <w:t xml:space="preserve">as Rudolph wrote insightfully. </w:t>
      </w:r>
      <w:r w:rsidRPr="00F20849">
        <w:rPr>
          <w:rFonts w:ascii="Times New Roman" w:hAnsi="Times New Roman" w:cs="Times New Roman"/>
          <w:sz w:val="24"/>
          <w:szCs w:val="24"/>
        </w:rPr>
        <w:t xml:space="preserve"> </w:t>
      </w:r>
      <w:r w:rsidR="00F20849">
        <w:rPr>
          <w:rFonts w:ascii="Times New Roman" w:hAnsi="Times New Roman" w:cs="Times New Roman"/>
          <w:sz w:val="24"/>
          <w:szCs w:val="24"/>
        </w:rPr>
        <w:t>T</w:t>
      </w:r>
      <w:r w:rsidR="00F20849" w:rsidRPr="00F20849">
        <w:rPr>
          <w:rFonts w:ascii="Times New Roman" w:hAnsi="Times New Roman" w:cs="Times New Roman"/>
          <w:sz w:val="24"/>
          <w:szCs w:val="24"/>
        </w:rPr>
        <w:t>he university has enshrined the liberal arts college as the most valued form of undergraduate education</w:t>
      </w:r>
      <w:r w:rsidR="00F20849">
        <w:rPr>
          <w:rFonts w:ascii="Times New Roman" w:hAnsi="Times New Roman" w:cs="Times New Roman"/>
          <w:sz w:val="24"/>
          <w:szCs w:val="24"/>
        </w:rPr>
        <w:t xml:space="preserve"> b</w:t>
      </w:r>
      <w:r w:rsidR="00F20849" w:rsidRPr="00F20849">
        <w:rPr>
          <w:rFonts w:ascii="Times New Roman" w:hAnsi="Times New Roman" w:cs="Times New Roman"/>
          <w:sz w:val="24"/>
          <w:szCs w:val="24"/>
        </w:rPr>
        <w:t>y replicating</w:t>
      </w:r>
      <w:r w:rsidR="00F20849">
        <w:rPr>
          <w:rFonts w:ascii="Times New Roman" w:hAnsi="Times New Roman" w:cs="Times New Roman"/>
          <w:sz w:val="24"/>
          <w:szCs w:val="24"/>
        </w:rPr>
        <w:t xml:space="preserve">, </w:t>
      </w:r>
      <w:r w:rsidR="00F20849" w:rsidRPr="00F20849">
        <w:rPr>
          <w:rFonts w:ascii="Times New Roman" w:hAnsi="Times New Roman" w:cs="Times New Roman"/>
          <w:sz w:val="24"/>
          <w:szCs w:val="24"/>
        </w:rPr>
        <w:t>assimilating</w:t>
      </w:r>
      <w:r w:rsidR="00F20849">
        <w:rPr>
          <w:rFonts w:ascii="Times New Roman" w:hAnsi="Times New Roman" w:cs="Times New Roman"/>
          <w:sz w:val="24"/>
          <w:szCs w:val="24"/>
        </w:rPr>
        <w:t xml:space="preserve">, </w:t>
      </w:r>
      <w:r w:rsidR="00F20849" w:rsidRPr="00F20849">
        <w:rPr>
          <w:rFonts w:ascii="Times New Roman" w:hAnsi="Times New Roman" w:cs="Times New Roman"/>
          <w:sz w:val="24"/>
          <w:szCs w:val="24"/>
        </w:rPr>
        <w:t>and intensively subsidizing it in the form of honors programs and colleges</w:t>
      </w:r>
      <w:r w:rsidR="00F20849">
        <w:rPr>
          <w:rFonts w:ascii="Times New Roman" w:hAnsi="Times New Roman" w:cs="Times New Roman"/>
          <w:sz w:val="24"/>
          <w:szCs w:val="24"/>
        </w:rPr>
        <w:t>.</w:t>
      </w:r>
    </w:p>
    <w:p w:rsidR="00AB611E" w:rsidRPr="00AF55A3" w:rsidRDefault="00D01DEB" w:rsidP="00AF1BFD">
      <w:pPr>
        <w:spacing w:line="480" w:lineRule="auto"/>
        <w:jc w:val="left"/>
        <w:rPr>
          <w:rFonts w:ascii="Times New Roman" w:hAnsi="Times New Roman" w:cs="Times New Roman"/>
          <w:sz w:val="24"/>
          <w:szCs w:val="24"/>
        </w:rPr>
      </w:pPr>
      <w:r w:rsidRPr="00AF55A3">
        <w:rPr>
          <w:rFonts w:ascii="Times New Roman" w:hAnsi="Times New Roman" w:cs="Times New Roman"/>
          <w:sz w:val="24"/>
          <w:szCs w:val="24"/>
        </w:rPr>
        <w:tab/>
        <w:t xml:space="preserve">Whether this shift is to the benefit or the detriment of liberal arts education </w:t>
      </w:r>
      <w:r w:rsidR="005853C2">
        <w:rPr>
          <w:rFonts w:ascii="Times New Roman" w:hAnsi="Times New Roman" w:cs="Times New Roman"/>
          <w:sz w:val="24"/>
          <w:szCs w:val="24"/>
        </w:rPr>
        <w:t>deserves</w:t>
      </w:r>
      <w:r w:rsidRPr="00AF55A3">
        <w:rPr>
          <w:rFonts w:ascii="Times New Roman" w:hAnsi="Times New Roman" w:cs="Times New Roman"/>
          <w:sz w:val="24"/>
          <w:szCs w:val="24"/>
        </w:rPr>
        <w:t xml:space="preserve"> careful consideration.  </w:t>
      </w:r>
      <w:r w:rsidR="00AB611E" w:rsidRPr="00AF55A3">
        <w:rPr>
          <w:rFonts w:ascii="Times New Roman" w:hAnsi="Times New Roman" w:cs="Times New Roman"/>
          <w:sz w:val="24"/>
          <w:szCs w:val="24"/>
        </w:rPr>
        <w:t xml:space="preserve">In either case, it seems true </w:t>
      </w:r>
      <w:r w:rsidRPr="00AF55A3">
        <w:rPr>
          <w:rFonts w:ascii="Times New Roman" w:hAnsi="Times New Roman" w:cs="Times New Roman"/>
          <w:sz w:val="24"/>
          <w:szCs w:val="24"/>
        </w:rPr>
        <w:t xml:space="preserve">that </w:t>
      </w:r>
      <w:r w:rsidR="00530C62" w:rsidRPr="00AF55A3">
        <w:rPr>
          <w:rFonts w:ascii="Times New Roman" w:hAnsi="Times New Roman" w:cs="Times New Roman"/>
          <w:sz w:val="24"/>
          <w:szCs w:val="24"/>
        </w:rPr>
        <w:t>liberal arts enrollment in the United States continues in the range of one to two percent of the “talented tenth” in the population, as has been the case since the founding of the Republic.</w:t>
      </w:r>
      <w:r w:rsidR="00AB611E" w:rsidRPr="00AF55A3">
        <w:rPr>
          <w:rFonts w:ascii="Times New Roman" w:hAnsi="Times New Roman" w:cs="Times New Roman"/>
          <w:sz w:val="24"/>
          <w:szCs w:val="24"/>
        </w:rPr>
        <w:t xml:space="preserve">  And that </w:t>
      </w:r>
      <w:r w:rsidR="008724E4">
        <w:rPr>
          <w:rFonts w:ascii="Times New Roman" w:hAnsi="Times New Roman" w:cs="Times New Roman"/>
          <w:sz w:val="24"/>
          <w:szCs w:val="24"/>
        </w:rPr>
        <w:t xml:space="preserve">may be </w:t>
      </w:r>
      <w:r w:rsidR="005853C2">
        <w:rPr>
          <w:rFonts w:ascii="Times New Roman" w:hAnsi="Times New Roman" w:cs="Times New Roman"/>
          <w:sz w:val="24"/>
          <w:szCs w:val="24"/>
        </w:rPr>
        <w:t xml:space="preserve">reassuring </w:t>
      </w:r>
      <w:r w:rsidR="008724E4">
        <w:rPr>
          <w:rFonts w:ascii="Times New Roman" w:hAnsi="Times New Roman" w:cs="Times New Roman"/>
          <w:sz w:val="24"/>
          <w:szCs w:val="24"/>
        </w:rPr>
        <w:t xml:space="preserve">about </w:t>
      </w:r>
      <w:r w:rsidR="00AB611E" w:rsidRPr="00AF55A3">
        <w:rPr>
          <w:rFonts w:ascii="Times New Roman" w:hAnsi="Times New Roman" w:cs="Times New Roman"/>
          <w:sz w:val="24"/>
          <w:szCs w:val="24"/>
        </w:rPr>
        <w:t xml:space="preserve">the </w:t>
      </w:r>
      <w:r w:rsidR="003B4505" w:rsidRPr="00AF55A3">
        <w:rPr>
          <w:rFonts w:ascii="Times New Roman" w:hAnsi="Times New Roman" w:cs="Times New Roman"/>
          <w:sz w:val="24"/>
          <w:szCs w:val="24"/>
        </w:rPr>
        <w:t xml:space="preserve">preservation </w:t>
      </w:r>
      <w:r w:rsidR="00AB611E" w:rsidRPr="00AF55A3">
        <w:rPr>
          <w:rFonts w:ascii="Times New Roman" w:hAnsi="Times New Roman" w:cs="Times New Roman"/>
          <w:sz w:val="24"/>
          <w:szCs w:val="24"/>
        </w:rPr>
        <w:t xml:space="preserve">of liberal arts </w:t>
      </w:r>
      <w:r w:rsidR="003B4505" w:rsidRPr="00AF55A3">
        <w:rPr>
          <w:rFonts w:ascii="Times New Roman" w:hAnsi="Times New Roman" w:cs="Times New Roman"/>
          <w:sz w:val="24"/>
          <w:szCs w:val="24"/>
        </w:rPr>
        <w:t xml:space="preserve">education </w:t>
      </w:r>
      <w:r w:rsidR="00AB611E" w:rsidRPr="00AF55A3">
        <w:rPr>
          <w:rFonts w:ascii="Times New Roman" w:hAnsi="Times New Roman" w:cs="Times New Roman"/>
          <w:sz w:val="24"/>
          <w:szCs w:val="24"/>
        </w:rPr>
        <w:t>in the future.</w:t>
      </w:r>
    </w:p>
    <w:p w:rsidR="00F74BD5" w:rsidRPr="00AF55A3" w:rsidRDefault="00F74BD5" w:rsidP="00AF1BFD">
      <w:pPr>
        <w:spacing w:line="480" w:lineRule="auto"/>
        <w:jc w:val="left"/>
        <w:rPr>
          <w:rFonts w:ascii="Times New Roman" w:hAnsi="Times New Roman" w:cs="Times New Roman"/>
          <w:sz w:val="24"/>
          <w:szCs w:val="24"/>
        </w:rPr>
      </w:pPr>
    </w:p>
    <w:sectPr w:rsidR="00F74BD5" w:rsidRPr="00AF55A3" w:rsidSect="00D339D0">
      <w:headerReference w:type="default" r:id="rId7"/>
      <w:endnotePr>
        <w:numFmt w:val="decimal"/>
      </w:endnotePr>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CFF" w:rsidRDefault="007A7CFF" w:rsidP="00211312">
      <w:r>
        <w:separator/>
      </w:r>
    </w:p>
  </w:endnote>
  <w:endnote w:type="continuationSeparator" w:id="0">
    <w:p w:rsidR="007A7CFF" w:rsidRDefault="007A7CFF" w:rsidP="002113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CFF" w:rsidRDefault="007A7CFF" w:rsidP="00211312">
      <w:r>
        <w:separator/>
      </w:r>
    </w:p>
  </w:footnote>
  <w:footnote w:type="continuationSeparator" w:id="0">
    <w:p w:rsidR="007A7CFF" w:rsidRDefault="007A7CFF" w:rsidP="00211312">
      <w:r>
        <w:continuationSeparator/>
      </w:r>
    </w:p>
  </w:footnote>
  <w:footnote w:id="1">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John W. Burgess, </w:t>
      </w:r>
      <w:r w:rsidRPr="00277948">
        <w:rPr>
          <w:i/>
          <w:sz w:val="22"/>
          <w:szCs w:val="22"/>
        </w:rPr>
        <w:t>The American University: When Shall It Be? Where Shall It Be? What Shall It Be?</w:t>
      </w:r>
      <w:r w:rsidRPr="00277948">
        <w:rPr>
          <w:sz w:val="22"/>
          <w:szCs w:val="22"/>
        </w:rPr>
        <w:t xml:space="preserve"> (Boston: </w:t>
      </w:r>
      <w:proofErr w:type="spellStart"/>
      <w:r w:rsidRPr="00277948">
        <w:rPr>
          <w:sz w:val="22"/>
          <w:szCs w:val="22"/>
        </w:rPr>
        <w:t>Ginn</w:t>
      </w:r>
      <w:proofErr w:type="spellEnd"/>
      <w:r w:rsidRPr="00277948">
        <w:rPr>
          <w:sz w:val="22"/>
          <w:szCs w:val="22"/>
        </w:rPr>
        <w:t>, Heath, 1884), 5.</w:t>
      </w:r>
    </w:p>
  </w:footnote>
  <w:footnote w:id="2">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William R. Harper, “The Situation of the Small College,” 349–89, in </w:t>
      </w:r>
      <w:r w:rsidRPr="00277948">
        <w:rPr>
          <w:i/>
          <w:sz w:val="22"/>
          <w:szCs w:val="22"/>
        </w:rPr>
        <w:t>The Trend in Higher Education in America</w:t>
      </w:r>
      <w:r w:rsidRPr="00277948">
        <w:rPr>
          <w:sz w:val="22"/>
          <w:szCs w:val="22"/>
        </w:rPr>
        <w:t xml:space="preserve"> (Chicago: University of Chicago Press, 1905).</w:t>
      </w:r>
    </w:p>
  </w:footnote>
  <w:footnote w:id="3">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Nicholas Murray Butler, </w:t>
      </w:r>
      <w:r w:rsidRPr="00277948">
        <w:rPr>
          <w:i/>
          <w:sz w:val="22"/>
          <w:szCs w:val="22"/>
        </w:rPr>
        <w:t xml:space="preserve">Annual Report of the President of Columbia University 1901-1902 </w:t>
      </w:r>
      <w:r w:rsidRPr="00277948">
        <w:rPr>
          <w:sz w:val="22"/>
          <w:szCs w:val="22"/>
        </w:rPr>
        <w:t>(New York: Columbia University, 1902), 37-43.</w:t>
      </w:r>
    </w:p>
  </w:footnote>
  <w:footnote w:id="4">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David Starr Jordan, “An Apology for the American University,” 53-54, in David Starr Jordan, </w:t>
      </w:r>
      <w:r w:rsidRPr="00277948">
        <w:rPr>
          <w:i/>
          <w:sz w:val="22"/>
          <w:szCs w:val="22"/>
        </w:rPr>
        <w:t>The Voice of the Scholar with Other Addresses</w:t>
      </w:r>
      <w:r w:rsidRPr="00277948">
        <w:rPr>
          <w:sz w:val="22"/>
          <w:szCs w:val="22"/>
        </w:rPr>
        <w:t xml:space="preserve"> (San Francisco: Paul Elder, 1903).</w:t>
      </w:r>
    </w:p>
  </w:footnote>
  <w:footnote w:id="5">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Leon B. Richardson, </w:t>
      </w:r>
      <w:r w:rsidRPr="00277948">
        <w:rPr>
          <w:i/>
          <w:sz w:val="22"/>
          <w:szCs w:val="22"/>
        </w:rPr>
        <w:t>A Study of the Liberal College</w:t>
      </w:r>
      <w:r w:rsidRPr="00277948">
        <w:rPr>
          <w:sz w:val="22"/>
          <w:szCs w:val="22"/>
        </w:rPr>
        <w:t xml:space="preserve"> (Hanover, NH: Dartmouth College, 1924), 15.</w:t>
      </w:r>
    </w:p>
  </w:footnote>
  <w:footnote w:id="6">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Frederick Rudolph, </w:t>
      </w:r>
      <w:r w:rsidRPr="00277948">
        <w:rPr>
          <w:i/>
          <w:iCs/>
          <w:sz w:val="22"/>
          <w:szCs w:val="22"/>
        </w:rPr>
        <w:t xml:space="preserve">The American College and University: A History </w:t>
      </w:r>
      <w:r w:rsidRPr="00277948">
        <w:rPr>
          <w:sz w:val="22"/>
          <w:szCs w:val="22"/>
        </w:rPr>
        <w:t>(New York: A. A. Knopf, 1962), 443-444.</w:t>
      </w:r>
    </w:p>
  </w:footnote>
  <w:footnote w:id="7">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Mark H. Curtis, “Crisis and Opportunity: The Founding of AAC,” 5, in </w:t>
      </w:r>
      <w:r w:rsidRPr="00277948">
        <w:rPr>
          <w:i/>
          <w:sz w:val="22"/>
          <w:szCs w:val="22"/>
        </w:rPr>
        <w:t>Enhancing, Promoting, Extending Liberal Education: AAC at Seventy-Five</w:t>
      </w:r>
      <w:r w:rsidRPr="00277948">
        <w:rPr>
          <w:sz w:val="22"/>
          <w:szCs w:val="22"/>
        </w:rPr>
        <w:t xml:space="preserve"> (Washington, D.C.: Association of American Colleges, 1988).</w:t>
      </w:r>
    </w:p>
  </w:footnote>
  <w:footnote w:id="8">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David Breneman, “Liberal Arts Colleges. What Price Survival?” 87, in Arthur Levine, ed., </w:t>
      </w:r>
      <w:r w:rsidRPr="00277948">
        <w:rPr>
          <w:i/>
          <w:sz w:val="22"/>
          <w:szCs w:val="22"/>
        </w:rPr>
        <w:t>Higher Learning in America, 1980-2000</w:t>
      </w:r>
      <w:r w:rsidRPr="00277948">
        <w:rPr>
          <w:sz w:val="22"/>
          <w:szCs w:val="22"/>
        </w:rPr>
        <w:t>, rev. ed. (Baltimore; Johns Hopkins University Press, 1993).</w:t>
      </w:r>
    </w:p>
  </w:footnote>
  <w:footnote w:id="9">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David W. Breneman, </w:t>
      </w:r>
      <w:r w:rsidRPr="00277948">
        <w:rPr>
          <w:i/>
          <w:iCs/>
          <w:sz w:val="22"/>
          <w:szCs w:val="22"/>
        </w:rPr>
        <w:t xml:space="preserve">Liberal Arts Colleges: Thriving, Surviving, or Endangered? </w:t>
      </w:r>
      <w:r w:rsidRPr="00277948">
        <w:rPr>
          <w:iCs/>
          <w:sz w:val="22"/>
          <w:szCs w:val="22"/>
        </w:rPr>
        <w:t>(</w:t>
      </w:r>
      <w:r w:rsidRPr="00277948">
        <w:rPr>
          <w:sz w:val="22"/>
          <w:szCs w:val="22"/>
        </w:rPr>
        <w:t xml:space="preserve">Washington, D.C.: Brookings Institution, 1994), 20-21. Breneman actually identified 212 liberal arts college, </w:t>
      </w:r>
      <w:r>
        <w:rPr>
          <w:sz w:val="22"/>
          <w:szCs w:val="22"/>
        </w:rPr>
        <w:t xml:space="preserve">but </w:t>
      </w:r>
      <w:r w:rsidRPr="00277948">
        <w:rPr>
          <w:sz w:val="22"/>
          <w:szCs w:val="22"/>
        </w:rPr>
        <w:t>include</w:t>
      </w:r>
      <w:r>
        <w:rPr>
          <w:sz w:val="22"/>
          <w:szCs w:val="22"/>
        </w:rPr>
        <w:t>d six colleges that granted less</w:t>
      </w:r>
      <w:r w:rsidRPr="00277948">
        <w:rPr>
          <w:sz w:val="22"/>
          <w:szCs w:val="22"/>
        </w:rPr>
        <w:t xml:space="preserve"> than </w:t>
      </w:r>
      <w:r>
        <w:rPr>
          <w:sz w:val="22"/>
          <w:szCs w:val="22"/>
        </w:rPr>
        <w:t>4</w:t>
      </w:r>
      <w:r w:rsidRPr="00277948">
        <w:rPr>
          <w:sz w:val="22"/>
          <w:szCs w:val="22"/>
        </w:rPr>
        <w:t xml:space="preserve">0 percent of their degrees in </w:t>
      </w:r>
      <w:r>
        <w:rPr>
          <w:sz w:val="22"/>
          <w:szCs w:val="22"/>
        </w:rPr>
        <w:t>the liberal arts</w:t>
      </w:r>
      <w:r w:rsidRPr="00277948">
        <w:rPr>
          <w:sz w:val="22"/>
          <w:szCs w:val="22"/>
        </w:rPr>
        <w:t>. The figure 206 is used here to maintain consistency</w:t>
      </w:r>
      <w:r>
        <w:rPr>
          <w:sz w:val="22"/>
          <w:szCs w:val="22"/>
        </w:rPr>
        <w:t xml:space="preserve"> with Breneman’s own standard</w:t>
      </w:r>
      <w:r w:rsidRPr="00277948">
        <w:rPr>
          <w:sz w:val="22"/>
          <w:szCs w:val="22"/>
        </w:rPr>
        <w:t xml:space="preserve">.  Breneman, </w:t>
      </w:r>
      <w:r w:rsidRPr="00277948">
        <w:rPr>
          <w:i/>
          <w:iCs/>
          <w:sz w:val="22"/>
          <w:szCs w:val="22"/>
        </w:rPr>
        <w:t>Liberal Arts</w:t>
      </w:r>
      <w:r w:rsidRPr="00277948">
        <w:rPr>
          <w:iCs/>
          <w:sz w:val="22"/>
          <w:szCs w:val="22"/>
        </w:rPr>
        <w:t xml:space="preserve">, 2, 11-14, 139-140. </w:t>
      </w:r>
      <w:r w:rsidRPr="00277948">
        <w:rPr>
          <w:sz w:val="22"/>
          <w:szCs w:val="22"/>
        </w:rPr>
        <w:t xml:space="preserve">See David W. Breneman, “Are We Losing Our Liberal Arts Colleges?” </w:t>
      </w:r>
      <w:proofErr w:type="spellStart"/>
      <w:r w:rsidRPr="00277948">
        <w:rPr>
          <w:i/>
          <w:iCs/>
          <w:sz w:val="22"/>
          <w:szCs w:val="22"/>
        </w:rPr>
        <w:t>AAHE</w:t>
      </w:r>
      <w:proofErr w:type="spellEnd"/>
      <w:r w:rsidRPr="00277948">
        <w:rPr>
          <w:i/>
          <w:iCs/>
          <w:sz w:val="22"/>
          <w:szCs w:val="22"/>
        </w:rPr>
        <w:t xml:space="preserve"> Bulletin</w:t>
      </w:r>
      <w:r w:rsidRPr="00277948">
        <w:rPr>
          <w:sz w:val="22"/>
          <w:szCs w:val="22"/>
        </w:rPr>
        <w:t xml:space="preserve"> 43.1 (1990): 3–6.  </w:t>
      </w:r>
    </w:p>
  </w:footnote>
  <w:footnote w:id="10">
    <w:p w:rsidR="003033EE" w:rsidRPr="00277948" w:rsidRDefault="003033EE" w:rsidP="00277948">
      <w:pPr>
        <w:pStyle w:val="FootnoteText"/>
        <w:spacing w:after="120"/>
        <w:ind w:left="0"/>
        <w:jc w:val="left"/>
        <w:rPr>
          <w:dstrike/>
          <w:sz w:val="22"/>
          <w:szCs w:val="22"/>
        </w:rPr>
      </w:pPr>
      <w:r w:rsidRPr="00277948">
        <w:rPr>
          <w:rStyle w:val="FootnoteReference"/>
          <w:szCs w:val="22"/>
        </w:rPr>
        <w:footnoteRef/>
      </w:r>
      <w:r w:rsidRPr="00277948">
        <w:rPr>
          <w:sz w:val="22"/>
          <w:szCs w:val="22"/>
        </w:rPr>
        <w:t xml:space="preserve"> Michael S. McPherson and Morton O. Schapiro, “The Future Economic Challenges of the Liberal Arts Colleges,” </w:t>
      </w:r>
      <w:r w:rsidRPr="00277948">
        <w:rPr>
          <w:i/>
          <w:iCs/>
          <w:sz w:val="22"/>
          <w:szCs w:val="22"/>
        </w:rPr>
        <w:t xml:space="preserve">Distinctively American: The Residential Liberal Arts College, Daedalus </w:t>
      </w:r>
      <w:r w:rsidRPr="00277948">
        <w:rPr>
          <w:sz w:val="22"/>
          <w:szCs w:val="22"/>
        </w:rPr>
        <w:t>128.1 (Winter 1999): 49-50.</w:t>
      </w:r>
    </w:p>
  </w:footnote>
  <w:footnote w:id="11">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w:t>
      </w:r>
      <w:r w:rsidRPr="00277948">
        <w:rPr>
          <w:iCs/>
          <w:sz w:val="22"/>
          <w:szCs w:val="22"/>
        </w:rPr>
        <w:t>Francis Oakley, “</w:t>
      </w:r>
      <w:r w:rsidRPr="00277948">
        <w:rPr>
          <w:bCs/>
          <w:sz w:val="22"/>
          <w:szCs w:val="22"/>
        </w:rPr>
        <w:t xml:space="preserve">Prologue: </w:t>
      </w:r>
      <w:r w:rsidRPr="00277948">
        <w:rPr>
          <w:sz w:val="22"/>
          <w:szCs w:val="22"/>
        </w:rPr>
        <w:t>The Liberal Arts College: Identity, Variety, Destiny,” 5</w:t>
      </w:r>
      <w:r>
        <w:rPr>
          <w:sz w:val="22"/>
          <w:szCs w:val="22"/>
        </w:rPr>
        <w:t>-6</w:t>
      </w:r>
      <w:r w:rsidRPr="00277948">
        <w:rPr>
          <w:sz w:val="22"/>
          <w:szCs w:val="22"/>
        </w:rPr>
        <w:t xml:space="preserve">, </w:t>
      </w:r>
      <w:r w:rsidRPr="00277948">
        <w:rPr>
          <w:i/>
          <w:sz w:val="22"/>
          <w:szCs w:val="22"/>
        </w:rPr>
        <w:t>Liberal Arts Colleges in American Higher Education: Challenges and Opportunities</w:t>
      </w:r>
      <w:r w:rsidRPr="00277948">
        <w:rPr>
          <w:sz w:val="22"/>
          <w:szCs w:val="22"/>
        </w:rPr>
        <w:t xml:space="preserve"> (New York: </w:t>
      </w:r>
      <w:proofErr w:type="spellStart"/>
      <w:r w:rsidRPr="00277948">
        <w:rPr>
          <w:sz w:val="22"/>
          <w:szCs w:val="22"/>
        </w:rPr>
        <w:t>ACLS</w:t>
      </w:r>
      <w:proofErr w:type="spellEnd"/>
      <w:r w:rsidRPr="00277948">
        <w:rPr>
          <w:sz w:val="22"/>
          <w:szCs w:val="22"/>
        </w:rPr>
        <w:t>, 2005).</w:t>
      </w:r>
    </w:p>
  </w:footnote>
  <w:footnote w:id="12">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Victor E. Ferrall, Jr., </w:t>
      </w:r>
      <w:r w:rsidRPr="00277948">
        <w:rPr>
          <w:i/>
          <w:sz w:val="22"/>
          <w:szCs w:val="22"/>
        </w:rPr>
        <w:t>Liberal Arts at the Brink</w:t>
      </w:r>
      <w:r w:rsidRPr="00277948">
        <w:rPr>
          <w:sz w:val="22"/>
          <w:szCs w:val="22"/>
        </w:rPr>
        <w:t xml:space="preserve"> (Cambridge: Harvard University Press, 2011).</w:t>
      </w:r>
    </w:p>
  </w:footnote>
  <w:footnote w:id="13">
    <w:p w:rsidR="003033EE" w:rsidRPr="00277948" w:rsidRDefault="003033EE" w:rsidP="00277948">
      <w:pPr>
        <w:pStyle w:val="FootnoteText"/>
        <w:spacing w:after="120"/>
        <w:ind w:left="0"/>
        <w:jc w:val="left"/>
        <w:rPr>
          <w:bCs/>
          <w:sz w:val="22"/>
          <w:szCs w:val="22"/>
        </w:rPr>
      </w:pPr>
      <w:r w:rsidRPr="00277948">
        <w:rPr>
          <w:rStyle w:val="FootnoteReference"/>
          <w:szCs w:val="22"/>
        </w:rPr>
        <w:footnoteRef/>
      </w:r>
      <w:r w:rsidRPr="00277948">
        <w:rPr>
          <w:sz w:val="22"/>
          <w:szCs w:val="22"/>
        </w:rPr>
        <w:t xml:space="preserve"> </w:t>
      </w:r>
      <w:r w:rsidRPr="00277948">
        <w:rPr>
          <w:bCs/>
          <w:sz w:val="22"/>
          <w:szCs w:val="22"/>
        </w:rPr>
        <w:t xml:space="preserve">Vicki L. Baker, Roger G. Baldwin, and </w:t>
      </w:r>
      <w:proofErr w:type="spellStart"/>
      <w:r w:rsidRPr="00277948">
        <w:rPr>
          <w:bCs/>
          <w:sz w:val="22"/>
          <w:szCs w:val="22"/>
        </w:rPr>
        <w:t>Sumedha</w:t>
      </w:r>
      <w:proofErr w:type="spellEnd"/>
      <w:r w:rsidRPr="00277948">
        <w:rPr>
          <w:bCs/>
          <w:sz w:val="22"/>
          <w:szCs w:val="22"/>
        </w:rPr>
        <w:t xml:space="preserve"> </w:t>
      </w:r>
      <w:proofErr w:type="spellStart"/>
      <w:r w:rsidRPr="00277948">
        <w:rPr>
          <w:bCs/>
          <w:sz w:val="22"/>
          <w:szCs w:val="22"/>
        </w:rPr>
        <w:t>Makker</w:t>
      </w:r>
      <w:proofErr w:type="spellEnd"/>
      <w:r w:rsidRPr="00277948">
        <w:rPr>
          <w:bCs/>
          <w:sz w:val="22"/>
          <w:szCs w:val="22"/>
        </w:rPr>
        <w:t xml:space="preserve">, “Where Are They Now? Revisiting Breneman’s Study of Liberal Arts Colleges,” </w:t>
      </w:r>
      <w:r w:rsidRPr="00277948">
        <w:rPr>
          <w:bCs/>
          <w:i/>
          <w:sz w:val="22"/>
          <w:szCs w:val="22"/>
        </w:rPr>
        <w:t>Liberal Education</w:t>
      </w:r>
      <w:r w:rsidRPr="00277948">
        <w:rPr>
          <w:bCs/>
          <w:sz w:val="22"/>
          <w:szCs w:val="22"/>
        </w:rPr>
        <w:t xml:space="preserve"> 98.3 (Summer 2012).  Accessed at </w:t>
      </w:r>
      <w:hyperlink r:id="rId1" w:history="1">
        <w:r w:rsidRPr="00277948">
          <w:rPr>
            <w:rStyle w:val="Hyperlink"/>
            <w:bCs/>
            <w:sz w:val="22"/>
            <w:szCs w:val="22"/>
          </w:rPr>
          <w:t>http://www.aacu.org/liberaleducation/le-su12/baker_baldwin_makker.cfm</w:t>
        </w:r>
      </w:hyperlink>
      <w:r w:rsidRPr="00277948">
        <w:rPr>
          <w:bCs/>
          <w:sz w:val="22"/>
          <w:szCs w:val="22"/>
        </w:rPr>
        <w:t>, in May 2013.</w:t>
      </w:r>
    </w:p>
  </w:footnote>
  <w:footnote w:id="14">
    <w:p w:rsidR="003033EE" w:rsidRPr="0002511F" w:rsidRDefault="003033EE" w:rsidP="00277948">
      <w:pPr>
        <w:pStyle w:val="FootnoteText"/>
        <w:spacing w:after="120"/>
        <w:ind w:left="0"/>
        <w:jc w:val="left"/>
        <w:rPr>
          <w:sz w:val="22"/>
          <w:szCs w:val="22"/>
        </w:rPr>
      </w:pPr>
      <w:r w:rsidRPr="0002511F">
        <w:rPr>
          <w:rStyle w:val="FootnoteReference"/>
          <w:szCs w:val="22"/>
        </w:rPr>
        <w:footnoteRef/>
      </w:r>
      <w:r w:rsidRPr="0002511F">
        <w:rPr>
          <w:sz w:val="22"/>
          <w:szCs w:val="22"/>
        </w:rPr>
        <w:t xml:space="preserve"> Robert A. McCaughey, </w:t>
      </w:r>
      <w:r w:rsidRPr="0002511F">
        <w:rPr>
          <w:i/>
          <w:sz w:val="22"/>
          <w:szCs w:val="22"/>
        </w:rPr>
        <w:t>Stand, Columbia: A History of Columbia University in the City of New York, 1754-2004</w:t>
      </w:r>
      <w:r w:rsidRPr="0002511F">
        <w:rPr>
          <w:sz w:val="22"/>
          <w:szCs w:val="22"/>
        </w:rPr>
        <w:t xml:space="preserve"> (New York: Columbia University Press, 2003), 160-163, 246. </w:t>
      </w:r>
    </w:p>
  </w:footnote>
  <w:footnote w:id="15">
    <w:p w:rsidR="003033EE" w:rsidRPr="0002511F" w:rsidRDefault="003033EE" w:rsidP="0002511F">
      <w:pPr>
        <w:jc w:val="left"/>
        <w:rPr>
          <w:rFonts w:ascii="Times New Roman" w:hAnsi="Times New Roman" w:cs="Times New Roman"/>
        </w:rPr>
      </w:pPr>
      <w:r w:rsidRPr="0002511F">
        <w:rPr>
          <w:rStyle w:val="FootnoteReference"/>
          <w:rFonts w:cs="Times New Roman"/>
        </w:rPr>
        <w:footnoteRef/>
      </w:r>
      <w:r w:rsidRPr="0002511F">
        <w:rPr>
          <w:rFonts w:ascii="Times New Roman" w:hAnsi="Times New Roman" w:cs="Times New Roman"/>
        </w:rPr>
        <w:t xml:space="preserve"> Laurence R. Veysey, </w:t>
      </w:r>
      <w:r w:rsidRPr="0002511F">
        <w:rPr>
          <w:rFonts w:ascii="Times New Roman" w:hAnsi="Times New Roman" w:cs="Times New Roman"/>
          <w:i/>
        </w:rPr>
        <w:t>The Emergence of the American University</w:t>
      </w:r>
      <w:r w:rsidRPr="0002511F">
        <w:rPr>
          <w:rFonts w:ascii="Times New Roman" w:hAnsi="Times New Roman" w:cs="Times New Roman"/>
        </w:rPr>
        <w:t xml:space="preserve"> (Chicago: University of Chicago Press, 1965).  See Charles W. Eliot, </w:t>
      </w:r>
      <w:r w:rsidRPr="0002511F">
        <w:rPr>
          <w:rFonts w:ascii="Times New Roman" w:hAnsi="Times New Roman" w:cs="Times New Roman"/>
          <w:i/>
        </w:rPr>
        <w:t>A Turning Point in Higher Education: The Inaugural Address of Charles William Eliot as President of Harvard College, October 19, 1869</w:t>
      </w:r>
      <w:r w:rsidRPr="0002511F">
        <w:rPr>
          <w:rFonts w:ascii="Times New Roman" w:hAnsi="Times New Roman" w:cs="Times New Roman"/>
        </w:rPr>
        <w:t xml:space="preserve"> (Cambridge: Harvard University Press, 1969).</w:t>
      </w:r>
    </w:p>
  </w:footnote>
  <w:footnote w:id="16">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Burgess, </w:t>
      </w:r>
      <w:r w:rsidRPr="00277948">
        <w:rPr>
          <w:i/>
          <w:sz w:val="22"/>
          <w:szCs w:val="22"/>
        </w:rPr>
        <w:t>American University</w:t>
      </w:r>
      <w:r w:rsidRPr="00277948">
        <w:rPr>
          <w:sz w:val="22"/>
          <w:szCs w:val="22"/>
        </w:rPr>
        <w:t>, 9.</w:t>
      </w:r>
    </w:p>
  </w:footnote>
  <w:footnote w:id="17">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Harper, “The Situation,”378.</w:t>
      </w:r>
    </w:p>
  </w:footnote>
  <w:footnote w:id="18">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Jordan, “An Apology,” 53-54.</w:t>
      </w:r>
    </w:p>
  </w:footnote>
  <w:footnote w:id="19">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Harper, “The Situation,” 375, 377. See David S. Jordan, </w:t>
      </w:r>
      <w:r w:rsidRPr="00277948">
        <w:rPr>
          <w:i/>
          <w:sz w:val="22"/>
          <w:szCs w:val="22"/>
        </w:rPr>
        <w:t>The Blood of the Nation: A Study of the Decay of Races through the Survival of the Unfit</w:t>
      </w:r>
      <w:r w:rsidRPr="00277948">
        <w:rPr>
          <w:sz w:val="22"/>
          <w:szCs w:val="22"/>
        </w:rPr>
        <w:t xml:space="preserve">  (Boston: American Unitarian Association, 1902).</w:t>
      </w:r>
    </w:p>
  </w:footnote>
  <w:footnote w:id="20">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Harper, “The Situation,” 369.  See Jordan, “An Apology,” 47.</w:t>
      </w:r>
    </w:p>
  </w:footnote>
  <w:footnote w:id="21">
    <w:p w:rsidR="003033EE" w:rsidRPr="00277948" w:rsidRDefault="003033EE" w:rsidP="00277948">
      <w:pPr>
        <w:spacing w:after="120"/>
        <w:jc w:val="left"/>
        <w:rPr>
          <w:rFonts w:ascii="Times New Roman" w:hAnsi="Times New Roman" w:cs="Times New Roman"/>
        </w:rPr>
      </w:pPr>
      <w:r w:rsidRPr="00277948">
        <w:rPr>
          <w:rStyle w:val="FootnoteReference"/>
          <w:rFonts w:cs="Times New Roman"/>
        </w:rPr>
        <w:footnoteRef/>
      </w:r>
      <w:r w:rsidRPr="00277948">
        <w:rPr>
          <w:rFonts w:ascii="Times New Roman" w:hAnsi="Times New Roman" w:cs="Times New Roman"/>
        </w:rPr>
        <w:t xml:space="preserve"> Jordan, “An Apology,” 44.  </w:t>
      </w:r>
    </w:p>
  </w:footnote>
  <w:footnote w:id="22">
    <w:p w:rsidR="003033EE" w:rsidRPr="00277948" w:rsidRDefault="003033EE" w:rsidP="00277948">
      <w:pPr>
        <w:spacing w:after="120"/>
        <w:jc w:val="left"/>
        <w:rPr>
          <w:rFonts w:ascii="Times New Roman" w:hAnsi="Times New Roman" w:cs="Times New Roman"/>
        </w:rPr>
      </w:pPr>
      <w:r w:rsidRPr="00277948">
        <w:rPr>
          <w:rStyle w:val="FootnoteReference"/>
          <w:rFonts w:cs="Times New Roman"/>
        </w:rPr>
        <w:footnoteRef/>
      </w:r>
      <w:r w:rsidRPr="00277948">
        <w:rPr>
          <w:rFonts w:ascii="Times New Roman" w:hAnsi="Times New Roman" w:cs="Times New Roman"/>
        </w:rPr>
        <w:t xml:space="preserve"> Orrin L. Elliott, </w:t>
      </w:r>
      <w:r w:rsidRPr="00277948">
        <w:rPr>
          <w:rFonts w:ascii="Times New Roman" w:hAnsi="Times New Roman" w:cs="Times New Roman"/>
          <w:i/>
        </w:rPr>
        <w:t>Stanford University: The First Twenty-Five Years</w:t>
      </w:r>
      <w:r w:rsidRPr="00277948">
        <w:rPr>
          <w:rFonts w:ascii="Times New Roman" w:hAnsi="Times New Roman" w:cs="Times New Roman"/>
        </w:rPr>
        <w:t xml:space="preserve"> (Stanford: Stanford University Press, 1937). See David Starr Jordan, “An Apology for the American University,” 217, 213-225. </w:t>
      </w:r>
      <w:r w:rsidRPr="00277948">
        <w:rPr>
          <w:rFonts w:ascii="Times New Roman" w:hAnsi="Times New Roman" w:cs="Times New Roman"/>
          <w:bCs/>
        </w:rPr>
        <w:t xml:space="preserve">National Education Association, </w:t>
      </w:r>
      <w:r w:rsidRPr="00277948">
        <w:rPr>
          <w:rFonts w:ascii="Times New Roman" w:hAnsi="Times New Roman" w:cs="Times New Roman"/>
          <w:bCs/>
          <w:i/>
        </w:rPr>
        <w:t>Journal of the Addresses and Proceedings of the Thirty-eight Annual Meeting held at Los Angeles, California, July 11-14, 1899</w:t>
      </w:r>
      <w:r w:rsidRPr="00277948">
        <w:rPr>
          <w:rFonts w:ascii="Times New Roman" w:hAnsi="Times New Roman" w:cs="Times New Roman"/>
          <w:bCs/>
        </w:rPr>
        <w:t>, vol. 38, (Chicago: University of Chicago Press, 1899).</w:t>
      </w:r>
    </w:p>
  </w:footnote>
  <w:footnote w:id="23">
    <w:p w:rsidR="003033EE" w:rsidRPr="00277948" w:rsidRDefault="003033EE" w:rsidP="00277948">
      <w:pPr>
        <w:spacing w:after="120"/>
        <w:jc w:val="left"/>
        <w:rPr>
          <w:rFonts w:ascii="Times New Roman" w:hAnsi="Times New Roman" w:cs="Times New Roman"/>
        </w:rPr>
      </w:pPr>
      <w:r w:rsidRPr="00277948">
        <w:rPr>
          <w:rStyle w:val="FootnoteReference"/>
          <w:rFonts w:cs="Times New Roman"/>
        </w:rPr>
        <w:footnoteRef/>
      </w:r>
      <w:r w:rsidRPr="00277948">
        <w:rPr>
          <w:rFonts w:ascii="Times New Roman" w:hAnsi="Times New Roman" w:cs="Times New Roman"/>
        </w:rPr>
        <w:t xml:space="preserve"> Jordan, “An Apology,” 46, 48-49.</w:t>
      </w:r>
    </w:p>
  </w:footnote>
  <w:footnote w:id="24">
    <w:p w:rsidR="003033EE" w:rsidRPr="00277948" w:rsidRDefault="003033EE" w:rsidP="00277948">
      <w:pPr>
        <w:spacing w:after="120"/>
        <w:jc w:val="left"/>
        <w:rPr>
          <w:rFonts w:ascii="Times New Roman" w:hAnsi="Times New Roman" w:cs="Times New Roman"/>
        </w:rPr>
      </w:pPr>
      <w:r w:rsidRPr="00277948">
        <w:rPr>
          <w:rStyle w:val="FootnoteReference"/>
          <w:rFonts w:cs="Times New Roman"/>
        </w:rPr>
        <w:footnoteRef/>
      </w:r>
      <w:r w:rsidRPr="00277948">
        <w:rPr>
          <w:rFonts w:ascii="Times New Roman" w:hAnsi="Times New Roman" w:cs="Times New Roman"/>
        </w:rPr>
        <w:t xml:space="preserve"> </w:t>
      </w:r>
      <w:r w:rsidRPr="00277948">
        <w:rPr>
          <w:rFonts w:ascii="Times New Roman" w:eastAsia="Calibri" w:hAnsi="Times New Roman" w:cs="Times New Roman"/>
          <w:color w:val="000000"/>
        </w:rPr>
        <w:t xml:space="preserve">Richard J. Storr, </w:t>
      </w:r>
      <w:r w:rsidRPr="00277948">
        <w:rPr>
          <w:rFonts w:ascii="Times New Roman" w:eastAsia="Calibri" w:hAnsi="Times New Roman" w:cs="Times New Roman"/>
          <w:i/>
          <w:color w:val="000000"/>
        </w:rPr>
        <w:t>Harper's University: The Beginnings; a History of the University of Chicago</w:t>
      </w:r>
      <w:r w:rsidRPr="00277948">
        <w:rPr>
          <w:rFonts w:ascii="Times New Roman" w:eastAsia="Calibri" w:hAnsi="Times New Roman" w:cs="Times New Roman"/>
          <w:color w:val="000000"/>
        </w:rPr>
        <w:t xml:space="preserve"> </w:t>
      </w:r>
      <w:r w:rsidRPr="00277948">
        <w:rPr>
          <w:rFonts w:ascii="Times New Roman" w:hAnsi="Times New Roman" w:cs="Times New Roman"/>
          <w:color w:val="000000"/>
        </w:rPr>
        <w:t>(</w:t>
      </w:r>
      <w:r w:rsidRPr="00277948">
        <w:rPr>
          <w:rFonts w:ascii="Times New Roman" w:eastAsia="Calibri" w:hAnsi="Times New Roman" w:cs="Times New Roman"/>
          <w:color w:val="000000"/>
        </w:rPr>
        <w:t>Chicago: University of Chicago Press, 1966</w:t>
      </w:r>
      <w:r w:rsidRPr="00277948">
        <w:rPr>
          <w:rFonts w:ascii="Times New Roman" w:hAnsi="Times New Roman" w:cs="Times New Roman"/>
          <w:color w:val="000000"/>
        </w:rPr>
        <w:t>)</w:t>
      </w:r>
      <w:r w:rsidRPr="00277948">
        <w:rPr>
          <w:rFonts w:ascii="Times New Roman" w:hAnsi="Times New Roman" w:cs="Times New Roman"/>
        </w:rPr>
        <w:t xml:space="preserve">, 260;  Ron </w:t>
      </w:r>
      <w:r w:rsidRPr="00277948">
        <w:rPr>
          <w:rFonts w:ascii="Times New Roman" w:eastAsia="Calibri" w:hAnsi="Times New Roman" w:cs="Times New Roman"/>
        </w:rPr>
        <w:t xml:space="preserve">Chernow, </w:t>
      </w:r>
      <w:r w:rsidRPr="00277948">
        <w:rPr>
          <w:rFonts w:ascii="Times New Roman" w:eastAsia="Calibri" w:hAnsi="Times New Roman" w:cs="Times New Roman"/>
          <w:i/>
        </w:rPr>
        <w:t>Titan: the Life of John D. Rockefeller, Sr.</w:t>
      </w:r>
      <w:r w:rsidRPr="00277948">
        <w:rPr>
          <w:rFonts w:ascii="Times New Roman" w:hAnsi="Times New Roman" w:cs="Times New Roman"/>
        </w:rPr>
        <w:t xml:space="preserve"> (New York: Random, 1998), 318, 329.</w:t>
      </w:r>
    </w:p>
  </w:footnote>
  <w:footnote w:id="25">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Butler, </w:t>
      </w:r>
      <w:r w:rsidRPr="00277948">
        <w:rPr>
          <w:i/>
          <w:sz w:val="22"/>
          <w:szCs w:val="22"/>
        </w:rPr>
        <w:t>Annual Report</w:t>
      </w:r>
      <w:r w:rsidRPr="00277948">
        <w:rPr>
          <w:sz w:val="22"/>
          <w:szCs w:val="22"/>
        </w:rPr>
        <w:t>, 15, 37-43.</w:t>
      </w:r>
    </w:p>
  </w:footnote>
  <w:footnote w:id="26">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Richardson, </w:t>
      </w:r>
      <w:r w:rsidRPr="00277948">
        <w:rPr>
          <w:i/>
          <w:sz w:val="22"/>
          <w:szCs w:val="22"/>
        </w:rPr>
        <w:t>A Study</w:t>
      </w:r>
      <w:r w:rsidRPr="00277948">
        <w:rPr>
          <w:sz w:val="22"/>
          <w:szCs w:val="22"/>
        </w:rPr>
        <w:t>, 15.</w:t>
      </w:r>
    </w:p>
  </w:footnote>
  <w:footnote w:id="27">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Hugh Hawkins, </w:t>
      </w:r>
      <w:r w:rsidRPr="00277948">
        <w:rPr>
          <w:i/>
          <w:sz w:val="22"/>
          <w:szCs w:val="22"/>
        </w:rPr>
        <w:t xml:space="preserve">Between Harvard and America; the Educational Leadership of Charles W. Eliot </w:t>
      </w:r>
      <w:r w:rsidRPr="00277948">
        <w:rPr>
          <w:sz w:val="22"/>
          <w:szCs w:val="22"/>
        </w:rPr>
        <w:t>(New York: Oxford University Press, 1972), 263</w:t>
      </w:r>
      <w:r>
        <w:rPr>
          <w:sz w:val="22"/>
          <w:szCs w:val="22"/>
        </w:rPr>
        <w:t>-</w:t>
      </w:r>
      <w:r w:rsidRPr="00277948">
        <w:rPr>
          <w:sz w:val="22"/>
          <w:szCs w:val="22"/>
        </w:rPr>
        <w:t xml:space="preserve">290; Henry A. Yeomans, </w:t>
      </w:r>
      <w:r w:rsidRPr="00277948">
        <w:rPr>
          <w:i/>
          <w:sz w:val="22"/>
          <w:szCs w:val="22"/>
        </w:rPr>
        <w:t>Abbott Lawrence Lowell 1856-1943</w:t>
      </w:r>
      <w:r w:rsidRPr="00277948">
        <w:rPr>
          <w:sz w:val="22"/>
          <w:szCs w:val="22"/>
        </w:rPr>
        <w:t xml:space="preserve"> (Cambridge: Harvard University Press, 1948), 253.</w:t>
      </w:r>
    </w:p>
  </w:footnote>
  <w:footnote w:id="28">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Rudolph, </w:t>
      </w:r>
      <w:r w:rsidRPr="00277948">
        <w:rPr>
          <w:i/>
          <w:iCs/>
          <w:sz w:val="22"/>
          <w:szCs w:val="22"/>
        </w:rPr>
        <w:t>The American</w:t>
      </w:r>
      <w:r w:rsidRPr="00277948">
        <w:rPr>
          <w:sz w:val="22"/>
          <w:szCs w:val="22"/>
        </w:rPr>
        <w:t>, 449.</w:t>
      </w:r>
    </w:p>
  </w:footnote>
  <w:footnote w:id="29">
    <w:p w:rsidR="003033EE" w:rsidRPr="00277948" w:rsidRDefault="003033EE" w:rsidP="00277948">
      <w:pPr>
        <w:spacing w:after="120"/>
        <w:jc w:val="left"/>
        <w:rPr>
          <w:rFonts w:ascii="Times New Roman" w:hAnsi="Times New Roman" w:cs="Times New Roman"/>
        </w:rPr>
      </w:pPr>
      <w:r w:rsidRPr="00277948">
        <w:rPr>
          <w:rStyle w:val="FootnoteReference"/>
          <w:rFonts w:cs="Times New Roman"/>
        </w:rPr>
        <w:footnoteRef/>
      </w:r>
      <w:r w:rsidRPr="00277948">
        <w:rPr>
          <w:rFonts w:ascii="Times New Roman" w:hAnsi="Times New Roman" w:cs="Times New Roman"/>
        </w:rPr>
        <w:t xml:space="preserve"> Rudolph, </w:t>
      </w:r>
      <w:r w:rsidRPr="00277948">
        <w:rPr>
          <w:rFonts w:ascii="Times New Roman" w:hAnsi="Times New Roman" w:cs="Times New Roman"/>
          <w:i/>
          <w:iCs/>
        </w:rPr>
        <w:t>The American</w:t>
      </w:r>
      <w:r w:rsidRPr="00277948">
        <w:rPr>
          <w:rFonts w:ascii="Times New Roman" w:hAnsi="Times New Roman" w:cs="Times New Roman"/>
        </w:rPr>
        <w:t>, 443, 447.</w:t>
      </w:r>
    </w:p>
  </w:footnote>
  <w:footnote w:id="30">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Breneman, “Liberal Arts,” 88; Breneman, </w:t>
      </w:r>
      <w:r w:rsidRPr="00277948">
        <w:rPr>
          <w:i/>
          <w:iCs/>
          <w:sz w:val="22"/>
          <w:szCs w:val="22"/>
        </w:rPr>
        <w:t>Liberal Arts</w:t>
      </w:r>
      <w:r w:rsidRPr="00277948">
        <w:rPr>
          <w:sz w:val="22"/>
          <w:szCs w:val="22"/>
        </w:rPr>
        <w:t xml:space="preserve">, 21.  See Hugh Hawkins, “The Making of the Liberal Arts College Identity,” </w:t>
      </w:r>
      <w:r w:rsidRPr="00277948">
        <w:rPr>
          <w:i/>
          <w:iCs/>
          <w:sz w:val="22"/>
          <w:szCs w:val="22"/>
        </w:rPr>
        <w:t xml:space="preserve">Distinctively American: The Residential Liberal Arts College, Daedalus </w:t>
      </w:r>
      <w:r w:rsidRPr="00277948">
        <w:rPr>
          <w:sz w:val="22"/>
          <w:szCs w:val="22"/>
        </w:rPr>
        <w:t>128.1 (Winter 1999): 8-12; Curtis, “Crisis,” 5.</w:t>
      </w:r>
    </w:p>
  </w:footnote>
  <w:footnote w:id="31">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Quotation is from </w:t>
      </w:r>
      <w:r w:rsidRPr="00277948">
        <w:rPr>
          <w:iCs/>
          <w:sz w:val="22"/>
          <w:szCs w:val="22"/>
        </w:rPr>
        <w:t>Oakley, “</w:t>
      </w:r>
      <w:r w:rsidRPr="00277948">
        <w:rPr>
          <w:bCs/>
          <w:sz w:val="22"/>
          <w:szCs w:val="22"/>
        </w:rPr>
        <w:t>Prologue</w:t>
      </w:r>
      <w:r w:rsidRPr="00277948">
        <w:rPr>
          <w:sz w:val="22"/>
          <w:szCs w:val="22"/>
        </w:rPr>
        <w:t>,” 2.  See Curtis, “Crisis,” 5.</w:t>
      </w:r>
    </w:p>
  </w:footnote>
  <w:footnote w:id="32">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Breneman, </w:t>
      </w:r>
      <w:r w:rsidRPr="00277948">
        <w:rPr>
          <w:i/>
          <w:iCs/>
          <w:sz w:val="22"/>
          <w:szCs w:val="22"/>
        </w:rPr>
        <w:t>Liberal Arts</w:t>
      </w:r>
      <w:r w:rsidRPr="00277948">
        <w:rPr>
          <w:sz w:val="22"/>
          <w:szCs w:val="22"/>
        </w:rPr>
        <w:t xml:space="preserve">, 21.  See </w:t>
      </w:r>
      <w:r w:rsidRPr="00277948">
        <w:rPr>
          <w:iCs/>
          <w:sz w:val="22"/>
          <w:szCs w:val="22"/>
        </w:rPr>
        <w:t>Hawkins, “The Making,”15-16; Oakley, “</w:t>
      </w:r>
      <w:r w:rsidRPr="00277948">
        <w:rPr>
          <w:bCs/>
          <w:sz w:val="22"/>
          <w:szCs w:val="22"/>
        </w:rPr>
        <w:t>Prologue</w:t>
      </w:r>
      <w:r w:rsidRPr="00277948">
        <w:rPr>
          <w:sz w:val="22"/>
          <w:szCs w:val="22"/>
        </w:rPr>
        <w:t>,” 5.</w:t>
      </w:r>
    </w:p>
  </w:footnote>
  <w:footnote w:id="33">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w:t>
      </w:r>
      <w:r w:rsidRPr="00277948">
        <w:rPr>
          <w:bCs/>
          <w:sz w:val="22"/>
          <w:szCs w:val="22"/>
        </w:rPr>
        <w:t xml:space="preserve">Richard M. Freeland, </w:t>
      </w:r>
      <w:r w:rsidRPr="00277948">
        <w:rPr>
          <w:bCs/>
          <w:i/>
          <w:sz w:val="22"/>
          <w:szCs w:val="22"/>
        </w:rPr>
        <w:t>Academia’s Golden Age: Universities in Massachusetts 1945-1975</w:t>
      </w:r>
      <w:r w:rsidRPr="00277948">
        <w:rPr>
          <w:bCs/>
          <w:sz w:val="22"/>
          <w:szCs w:val="22"/>
        </w:rPr>
        <w:t xml:space="preserve"> (New York: Oxford University Press, 1992), 70-120; </w:t>
      </w:r>
      <w:r w:rsidRPr="00277948">
        <w:rPr>
          <w:sz w:val="22"/>
          <w:szCs w:val="22"/>
        </w:rPr>
        <w:t xml:space="preserve">Breneman, </w:t>
      </w:r>
      <w:r w:rsidRPr="00277948">
        <w:rPr>
          <w:i/>
          <w:iCs/>
          <w:sz w:val="22"/>
          <w:szCs w:val="22"/>
        </w:rPr>
        <w:t>Liberal Arts</w:t>
      </w:r>
      <w:r w:rsidRPr="00277948">
        <w:rPr>
          <w:iCs/>
          <w:sz w:val="22"/>
          <w:szCs w:val="22"/>
        </w:rPr>
        <w:t xml:space="preserve">, 21; </w:t>
      </w:r>
      <w:r w:rsidRPr="00277948">
        <w:rPr>
          <w:sz w:val="22"/>
          <w:szCs w:val="22"/>
        </w:rPr>
        <w:t>McPherson and Schapiro, “The Future,” 48</w:t>
      </w:r>
      <w:r w:rsidRPr="00277948">
        <w:rPr>
          <w:iCs/>
          <w:sz w:val="22"/>
          <w:szCs w:val="22"/>
        </w:rPr>
        <w:t>.</w:t>
      </w:r>
    </w:p>
  </w:footnote>
  <w:footnote w:id="34">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Joan Gilbert, “The Liberal Arts College—Is It Really An Endangered Species?” </w:t>
      </w:r>
      <w:r w:rsidRPr="00277948">
        <w:rPr>
          <w:i/>
          <w:iCs/>
          <w:sz w:val="22"/>
          <w:szCs w:val="22"/>
        </w:rPr>
        <w:t xml:space="preserve">Change </w:t>
      </w:r>
      <w:r w:rsidRPr="00277948">
        <w:rPr>
          <w:sz w:val="22"/>
          <w:szCs w:val="22"/>
        </w:rPr>
        <w:t xml:space="preserve"> 27.5 (Sep.-Oct. 1995):  41-42.</w:t>
      </w:r>
    </w:p>
  </w:footnote>
  <w:footnote w:id="35">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Breneman, </w:t>
      </w:r>
      <w:r w:rsidRPr="00277948">
        <w:rPr>
          <w:i/>
          <w:iCs/>
          <w:sz w:val="22"/>
          <w:szCs w:val="22"/>
        </w:rPr>
        <w:t>Liberal Arts</w:t>
      </w:r>
      <w:r w:rsidRPr="00277948">
        <w:rPr>
          <w:sz w:val="22"/>
          <w:szCs w:val="22"/>
        </w:rPr>
        <w:t>, 2;</w:t>
      </w:r>
      <w:r w:rsidRPr="00277948">
        <w:rPr>
          <w:iCs/>
          <w:sz w:val="22"/>
          <w:szCs w:val="22"/>
        </w:rPr>
        <w:t xml:space="preserve"> Hawkins, “The Making,” 15-16</w:t>
      </w:r>
      <w:r w:rsidRPr="00277948">
        <w:rPr>
          <w:sz w:val="22"/>
          <w:szCs w:val="22"/>
        </w:rPr>
        <w:t xml:space="preserve">; </w:t>
      </w:r>
      <w:r w:rsidRPr="00277948">
        <w:rPr>
          <w:iCs/>
          <w:sz w:val="22"/>
          <w:szCs w:val="22"/>
        </w:rPr>
        <w:t>Oakley, “</w:t>
      </w:r>
      <w:r w:rsidRPr="00277948">
        <w:rPr>
          <w:bCs/>
          <w:sz w:val="22"/>
          <w:szCs w:val="22"/>
        </w:rPr>
        <w:t>Prologue</w:t>
      </w:r>
      <w:r w:rsidRPr="00277948">
        <w:rPr>
          <w:sz w:val="22"/>
          <w:szCs w:val="22"/>
        </w:rPr>
        <w:t>,” 5.</w:t>
      </w:r>
    </w:p>
  </w:footnote>
  <w:footnote w:id="36">
    <w:p w:rsidR="003033EE" w:rsidRPr="00277948" w:rsidRDefault="003033EE" w:rsidP="00277948">
      <w:pPr>
        <w:spacing w:after="120"/>
        <w:jc w:val="left"/>
        <w:rPr>
          <w:rFonts w:ascii="Times New Roman" w:hAnsi="Times New Roman" w:cs="Times New Roman"/>
        </w:rPr>
      </w:pPr>
      <w:r w:rsidRPr="00277948">
        <w:rPr>
          <w:rStyle w:val="FootnoteReference"/>
          <w:rFonts w:cs="Times New Roman"/>
        </w:rPr>
        <w:footnoteRef/>
      </w:r>
      <w:r w:rsidRPr="00277948">
        <w:rPr>
          <w:rFonts w:ascii="Times New Roman" w:hAnsi="Times New Roman" w:cs="Times New Roman"/>
        </w:rPr>
        <w:t xml:space="preserve"> Breneman, </w:t>
      </w:r>
      <w:r w:rsidRPr="00277948">
        <w:rPr>
          <w:rFonts w:ascii="Times New Roman" w:hAnsi="Times New Roman" w:cs="Times New Roman"/>
          <w:i/>
          <w:iCs/>
        </w:rPr>
        <w:t>Liberal Arts</w:t>
      </w:r>
      <w:r w:rsidRPr="00277948">
        <w:rPr>
          <w:rFonts w:ascii="Times New Roman" w:hAnsi="Times New Roman" w:cs="Times New Roman"/>
          <w:iCs/>
        </w:rPr>
        <w:t>, 139-140.</w:t>
      </w:r>
    </w:p>
  </w:footnote>
  <w:footnote w:id="37">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McPherson and Schapiro, “The Future,” 48.  </w:t>
      </w:r>
      <w:r w:rsidRPr="00277948">
        <w:rPr>
          <w:iCs/>
          <w:sz w:val="22"/>
          <w:szCs w:val="22"/>
        </w:rPr>
        <w:t>Oakley, “</w:t>
      </w:r>
      <w:r w:rsidRPr="00277948">
        <w:rPr>
          <w:bCs/>
          <w:sz w:val="22"/>
          <w:szCs w:val="22"/>
        </w:rPr>
        <w:t>Prologue</w:t>
      </w:r>
      <w:r w:rsidRPr="00277948">
        <w:rPr>
          <w:sz w:val="22"/>
          <w:szCs w:val="22"/>
        </w:rPr>
        <w:t>,” 5, 1-14.</w:t>
      </w:r>
    </w:p>
  </w:footnote>
  <w:footnote w:id="38">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Ferrall, </w:t>
      </w:r>
      <w:r w:rsidRPr="00277948">
        <w:rPr>
          <w:i/>
          <w:sz w:val="22"/>
          <w:szCs w:val="22"/>
        </w:rPr>
        <w:t>Liberal Arts</w:t>
      </w:r>
      <w:r w:rsidRPr="00277948">
        <w:rPr>
          <w:sz w:val="22"/>
          <w:szCs w:val="22"/>
        </w:rPr>
        <w:t>, argues that in the two decades after 1987, “the percentage of graduates of the 225 liberal arts colleges...who majored in vocational disciplines increased from 10.6 percent to 27.8 percent” (p. 155). But this conclusion raises a significant definitional issue.  For example, over this period, Amherst College supposedly went from 0.0 to 4.8 percent vocational majors, while Bowdoin went from 0.0 to 6.2 percent.  Among the list of majors at Amherst, the only vocational possibilities seem to be:  Computer Science, Theater and Dance, Film and Media Studies, and Legal Studies as a liberal discipline.  At Bowdoin, only Computer Science, Government and Legal Studies, and Educational Studies seem to be candidates.  One doubts that the Amherst or Bowdoin faculty would agree with Farrell, who does not identify the vocational fields, apart from legal studies (p. 9).</w:t>
      </w:r>
    </w:p>
  </w:footnote>
  <w:footnote w:id="39">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Ferrall, </w:t>
      </w:r>
      <w:r w:rsidRPr="00277948">
        <w:rPr>
          <w:i/>
          <w:sz w:val="22"/>
          <w:szCs w:val="22"/>
        </w:rPr>
        <w:t>Liberal Arts</w:t>
      </w:r>
      <w:r w:rsidRPr="00277948">
        <w:rPr>
          <w:sz w:val="22"/>
          <w:szCs w:val="22"/>
        </w:rPr>
        <w:t xml:space="preserve">, 157, 75-8. There 265 such colleges, but Ferrall studied 225, omitting those that are public and unranked. </w:t>
      </w:r>
    </w:p>
  </w:footnote>
  <w:footnote w:id="40">
    <w:p w:rsidR="003033EE" w:rsidRPr="00277948" w:rsidRDefault="003033EE" w:rsidP="00277948">
      <w:pPr>
        <w:spacing w:after="120"/>
        <w:jc w:val="left"/>
        <w:rPr>
          <w:rFonts w:ascii="Times New Roman" w:hAnsi="Times New Roman" w:cs="Times New Roman"/>
        </w:rPr>
      </w:pPr>
      <w:r w:rsidRPr="00277948">
        <w:rPr>
          <w:rStyle w:val="FootnoteReference"/>
          <w:rFonts w:cs="Times New Roman"/>
        </w:rPr>
        <w:footnoteRef/>
      </w:r>
      <w:r w:rsidRPr="00277948">
        <w:rPr>
          <w:rFonts w:ascii="Times New Roman" w:hAnsi="Times New Roman" w:cs="Times New Roman"/>
        </w:rPr>
        <w:t xml:space="preserve"> Breneman, </w:t>
      </w:r>
      <w:r w:rsidRPr="00277948">
        <w:rPr>
          <w:rFonts w:ascii="Times New Roman" w:hAnsi="Times New Roman" w:cs="Times New Roman"/>
          <w:i/>
          <w:iCs/>
        </w:rPr>
        <w:t>Liberal Arts</w:t>
      </w:r>
      <w:r w:rsidRPr="00277948">
        <w:rPr>
          <w:rFonts w:ascii="Times New Roman" w:hAnsi="Times New Roman" w:cs="Times New Roman"/>
          <w:iCs/>
        </w:rPr>
        <w:t xml:space="preserve">, 2, 139-140; </w:t>
      </w:r>
      <w:r w:rsidRPr="00277948">
        <w:rPr>
          <w:rFonts w:ascii="Times New Roman" w:hAnsi="Times New Roman" w:cs="Times New Roman"/>
        </w:rPr>
        <w:t xml:space="preserve"> Ferrall, </w:t>
      </w:r>
      <w:r w:rsidRPr="00277948">
        <w:rPr>
          <w:rFonts w:ascii="Times New Roman" w:hAnsi="Times New Roman" w:cs="Times New Roman"/>
          <w:i/>
        </w:rPr>
        <w:t>Liberal Arts</w:t>
      </w:r>
      <w:r w:rsidRPr="00277948">
        <w:rPr>
          <w:rFonts w:ascii="Times New Roman" w:hAnsi="Times New Roman" w:cs="Times New Roman"/>
        </w:rPr>
        <w:t>, 184-195.</w:t>
      </w:r>
    </w:p>
  </w:footnote>
  <w:footnote w:id="41">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w:t>
      </w:r>
      <w:r w:rsidRPr="00277948">
        <w:rPr>
          <w:bCs/>
          <w:sz w:val="22"/>
          <w:szCs w:val="22"/>
        </w:rPr>
        <w:t xml:space="preserve">Baker, Baldwin, and </w:t>
      </w:r>
      <w:proofErr w:type="spellStart"/>
      <w:r w:rsidRPr="00277948">
        <w:rPr>
          <w:bCs/>
          <w:sz w:val="22"/>
          <w:szCs w:val="22"/>
        </w:rPr>
        <w:t>Makker</w:t>
      </w:r>
      <w:proofErr w:type="spellEnd"/>
      <w:r w:rsidRPr="00277948">
        <w:rPr>
          <w:bCs/>
          <w:sz w:val="22"/>
          <w:szCs w:val="22"/>
        </w:rPr>
        <w:t>, “Where Are They Now?”</w:t>
      </w:r>
    </w:p>
  </w:footnote>
  <w:footnote w:id="42">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Ferrall, </w:t>
      </w:r>
      <w:r w:rsidRPr="00277948">
        <w:rPr>
          <w:i/>
          <w:sz w:val="22"/>
          <w:szCs w:val="22"/>
        </w:rPr>
        <w:t>Liberal Arts</w:t>
      </w:r>
      <w:r w:rsidRPr="00277948">
        <w:rPr>
          <w:sz w:val="22"/>
          <w:szCs w:val="22"/>
        </w:rPr>
        <w:t>, 184-195.</w:t>
      </w:r>
    </w:p>
  </w:footnote>
  <w:footnote w:id="43">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w:t>
      </w:r>
      <w:r w:rsidRPr="00277948">
        <w:rPr>
          <w:bCs/>
          <w:sz w:val="22"/>
          <w:szCs w:val="22"/>
        </w:rPr>
        <w:t xml:space="preserve">Baker, Baldwin, and </w:t>
      </w:r>
      <w:proofErr w:type="spellStart"/>
      <w:r w:rsidRPr="00277948">
        <w:rPr>
          <w:bCs/>
          <w:sz w:val="22"/>
          <w:szCs w:val="22"/>
        </w:rPr>
        <w:t>Makker</w:t>
      </w:r>
      <w:proofErr w:type="spellEnd"/>
      <w:r w:rsidRPr="00277948">
        <w:rPr>
          <w:bCs/>
          <w:sz w:val="22"/>
          <w:szCs w:val="22"/>
        </w:rPr>
        <w:t>, “Where Are They Now?”</w:t>
      </w:r>
    </w:p>
  </w:footnote>
  <w:footnote w:id="44">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Ferrall, </w:t>
      </w:r>
      <w:r w:rsidRPr="00277948">
        <w:rPr>
          <w:i/>
          <w:sz w:val="22"/>
          <w:szCs w:val="22"/>
        </w:rPr>
        <w:t>Liberal Arts</w:t>
      </w:r>
      <w:r w:rsidRPr="00277948">
        <w:rPr>
          <w:sz w:val="22"/>
          <w:szCs w:val="22"/>
        </w:rPr>
        <w:t>, 59.</w:t>
      </w:r>
    </w:p>
  </w:footnote>
  <w:footnote w:id="45">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Francis Oakley has pursued “forms of significance other than the statistical” in suggesting, “the drop in numbers notwithstanding, that the declension narrative may still serve to mislead. Certainly,...it is far from catching or disclosing the full story, which coveys...some real grounds for encouragement.”  “Prologue,” 6.  The following argument challenges the inferences of the declension narrative that are drawn from the statistical drop in numbers.</w:t>
      </w:r>
    </w:p>
  </w:footnote>
  <w:footnote w:id="46">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Gilbert, “The Liberal Arts,” 36-37.</w:t>
      </w:r>
    </w:p>
  </w:footnote>
  <w:footnote w:id="47">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Gilbert, “The Liberal Arts,” 41-42.</w:t>
      </w:r>
    </w:p>
  </w:footnote>
  <w:footnote w:id="48">
    <w:p w:rsidR="003033EE" w:rsidRPr="00277948" w:rsidRDefault="003033EE" w:rsidP="00277948">
      <w:pPr>
        <w:spacing w:after="120"/>
        <w:jc w:val="left"/>
        <w:rPr>
          <w:rFonts w:ascii="Times New Roman" w:hAnsi="Times New Roman" w:cs="Times New Roman"/>
        </w:rPr>
      </w:pPr>
      <w:r w:rsidRPr="00277948">
        <w:rPr>
          <w:rStyle w:val="FootnoteReference"/>
          <w:rFonts w:cs="Times New Roman"/>
        </w:rPr>
        <w:footnoteRef/>
      </w:r>
      <w:r w:rsidRPr="00277948">
        <w:rPr>
          <w:rFonts w:ascii="Times New Roman" w:hAnsi="Times New Roman" w:cs="Times New Roman"/>
        </w:rPr>
        <w:t xml:space="preserve"> Breneman, </w:t>
      </w:r>
      <w:r w:rsidRPr="00277948">
        <w:rPr>
          <w:rFonts w:ascii="Times New Roman" w:hAnsi="Times New Roman" w:cs="Times New Roman"/>
          <w:i/>
          <w:iCs/>
        </w:rPr>
        <w:t>Liberal Arts</w:t>
      </w:r>
      <w:r w:rsidRPr="00277948">
        <w:rPr>
          <w:rFonts w:ascii="Times New Roman" w:hAnsi="Times New Roman" w:cs="Times New Roman"/>
        </w:rPr>
        <w:t xml:space="preserve">, 30-31; T. D. Snyder, ed., </w:t>
      </w:r>
      <w:r w:rsidRPr="00277948">
        <w:rPr>
          <w:rFonts w:ascii="Times New Roman" w:hAnsi="Times New Roman" w:cs="Times New Roman"/>
          <w:i/>
        </w:rPr>
        <w:t>120 Years of American Education: A Statistical Portrait</w:t>
      </w:r>
      <w:r w:rsidRPr="00277948">
        <w:rPr>
          <w:rFonts w:ascii="Times New Roman" w:hAnsi="Times New Roman" w:cs="Times New Roman"/>
        </w:rPr>
        <w:t xml:space="preserve">. Washington, D.C.: National Center for Educational Statistics, 1993); Susan B. Carter, et al., eds., </w:t>
      </w:r>
      <w:r w:rsidRPr="00277948">
        <w:rPr>
          <w:rFonts w:ascii="Times New Roman" w:hAnsi="Times New Roman" w:cs="Times New Roman"/>
          <w:i/>
          <w:iCs/>
        </w:rPr>
        <w:t>Historical Statistics of the United States, Millennial Edition On Line</w:t>
      </w:r>
      <w:r w:rsidRPr="00277948">
        <w:rPr>
          <w:rFonts w:ascii="Times New Roman" w:hAnsi="Times New Roman" w:cs="Times New Roman"/>
        </w:rPr>
        <w:t xml:space="preserve"> (Cambridge: Cambridge University Press, 2006), "Table Bc523-536: Enrollment in Institutions of Higher Education, by Sex, Enrollment Status, and Type of Institution: 1869-1995," accessed May 2013 via </w:t>
      </w:r>
      <w:hyperlink r:id="rId2" w:history="1">
        <w:r w:rsidRPr="00277948">
          <w:rPr>
            <w:rStyle w:val="Hyperlink"/>
            <w:rFonts w:ascii="Times New Roman" w:hAnsi="Times New Roman" w:cs="Times New Roman"/>
          </w:rPr>
          <w:t>http://hsus.cambridge.org/HSUSWeb/HSUSEntryServlet</w:t>
        </w:r>
      </w:hyperlink>
      <w:r w:rsidRPr="00277948">
        <w:rPr>
          <w:rFonts w:ascii="Times New Roman" w:hAnsi="Times New Roman" w:cs="Times New Roman"/>
        </w:rPr>
        <w:t xml:space="preserve">; National Center for Education Statistics, </w:t>
      </w:r>
      <w:r w:rsidRPr="00277948">
        <w:rPr>
          <w:rFonts w:ascii="Times New Roman" w:hAnsi="Times New Roman" w:cs="Times New Roman"/>
          <w:i/>
        </w:rPr>
        <w:t>Higher Education General Information Survey</w:t>
      </w:r>
      <w:r w:rsidRPr="00277948">
        <w:rPr>
          <w:rFonts w:ascii="Times New Roman" w:hAnsi="Times New Roman" w:cs="Times New Roman"/>
        </w:rPr>
        <w:t xml:space="preserve"> [</w:t>
      </w:r>
      <w:proofErr w:type="spellStart"/>
      <w:r w:rsidRPr="00277948">
        <w:rPr>
          <w:rFonts w:ascii="Times New Roman" w:hAnsi="Times New Roman" w:cs="Times New Roman"/>
        </w:rPr>
        <w:t>HEGIS</w:t>
      </w:r>
      <w:proofErr w:type="spellEnd"/>
      <w:r w:rsidRPr="00277948">
        <w:rPr>
          <w:rFonts w:ascii="Times New Roman" w:hAnsi="Times New Roman" w:cs="Times New Roman"/>
        </w:rPr>
        <w:t xml:space="preserve">] (2008). (Washington D.C.: U.S. Department of Education, 2009), "Fall Enrollment in Colleges and Universities" surveys, 1966 through 1985; and 1986 through 2007 Integrated Postsecondary Education Data System, "Fall Enrollment Survey" (IPEDS-EF:86–99), and Spring 2001 through Spring 2008, accessed May 2013 via </w:t>
      </w:r>
      <w:hyperlink r:id="rId3" w:history="1">
        <w:r w:rsidRPr="00277948">
          <w:rPr>
            <w:rStyle w:val="Hyperlink"/>
            <w:rFonts w:ascii="Times New Roman" w:hAnsi="Times New Roman" w:cs="Times New Roman"/>
          </w:rPr>
          <w:t>http://nces.ed.gov/ipeds/glossary/?charindex=H</w:t>
        </w:r>
      </w:hyperlink>
      <w:r w:rsidRPr="00277948">
        <w:rPr>
          <w:rFonts w:ascii="Times New Roman" w:hAnsi="Times New Roman" w:cs="Times New Roman"/>
        </w:rPr>
        <w:t>.</w:t>
      </w:r>
    </w:p>
  </w:footnote>
  <w:footnote w:id="49">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Breneman, </w:t>
      </w:r>
      <w:r w:rsidRPr="00277948">
        <w:rPr>
          <w:i/>
          <w:iCs/>
          <w:sz w:val="22"/>
          <w:szCs w:val="22"/>
        </w:rPr>
        <w:t>Liberal Arts</w:t>
      </w:r>
      <w:r w:rsidRPr="00277948">
        <w:rPr>
          <w:sz w:val="22"/>
          <w:szCs w:val="22"/>
        </w:rPr>
        <w:t>, 141.</w:t>
      </w:r>
    </w:p>
  </w:footnote>
  <w:footnote w:id="50">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Gilbert, “The Liberal Arts,” 37-38.</w:t>
      </w:r>
    </w:p>
  </w:footnote>
  <w:footnote w:id="51">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Breneman, </w:t>
      </w:r>
      <w:r w:rsidRPr="00277948">
        <w:rPr>
          <w:i/>
          <w:iCs/>
          <w:sz w:val="22"/>
          <w:szCs w:val="22"/>
        </w:rPr>
        <w:t>Liberal Arts</w:t>
      </w:r>
      <w:r w:rsidRPr="00277948">
        <w:rPr>
          <w:sz w:val="22"/>
          <w:szCs w:val="22"/>
        </w:rPr>
        <w:t>, 11n30. The belief is sometimes qualified by saying that liberal arts colleges are indispensable because they preserve the “understanding of what liberal arts teaching really is.” McPherson and Schapiro, “The Future,” 69.</w:t>
      </w:r>
    </w:p>
  </w:footnote>
  <w:footnote w:id="52">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Ferrall, </w:t>
      </w:r>
      <w:r w:rsidRPr="00277948">
        <w:rPr>
          <w:i/>
          <w:sz w:val="22"/>
          <w:szCs w:val="22"/>
        </w:rPr>
        <w:t>Liberal Arts</w:t>
      </w:r>
      <w:r w:rsidRPr="00277948">
        <w:rPr>
          <w:sz w:val="22"/>
          <w:szCs w:val="22"/>
        </w:rPr>
        <w:t xml:space="preserve">, 20-21, 154. The decline of liberal arts colleges is often cited to demonstrate the general decline of students in the liberal arts. See Frank Donoghue, </w:t>
      </w:r>
      <w:r w:rsidRPr="00277948">
        <w:rPr>
          <w:i/>
          <w:sz w:val="22"/>
          <w:szCs w:val="22"/>
        </w:rPr>
        <w:t>The Last Professors: The Corporate University and the Fate of the Humanities</w:t>
      </w:r>
      <w:r w:rsidRPr="00277948">
        <w:rPr>
          <w:sz w:val="22"/>
          <w:szCs w:val="22"/>
        </w:rPr>
        <w:t xml:space="preserve"> (New York: Fordham University Press, 2008), xvii-xviii, 1, 3, 125; Louis Menand, </w:t>
      </w:r>
      <w:r w:rsidRPr="00277948">
        <w:rPr>
          <w:i/>
          <w:iCs/>
          <w:sz w:val="22"/>
          <w:szCs w:val="22"/>
        </w:rPr>
        <w:t>The Marketplace of Ideas: Reform and Resistance in the American University</w:t>
      </w:r>
      <w:r w:rsidRPr="00277948">
        <w:rPr>
          <w:sz w:val="22"/>
          <w:szCs w:val="22"/>
        </w:rPr>
        <w:t xml:space="preserve"> (New York: W. W. Norton, 2010), 145; Ellen Schrecker, </w:t>
      </w:r>
      <w:r w:rsidRPr="00277948">
        <w:rPr>
          <w:i/>
          <w:sz w:val="22"/>
          <w:szCs w:val="22"/>
        </w:rPr>
        <w:t>The Lost Soul of Higher Education: Corporatization, the Assault on Academic Freedom, and the End of the American University</w:t>
      </w:r>
      <w:r w:rsidRPr="00277948">
        <w:rPr>
          <w:sz w:val="22"/>
          <w:szCs w:val="22"/>
        </w:rPr>
        <w:t xml:space="preserve"> (New York: Free Press, 2010), 187-91.</w:t>
      </w:r>
    </w:p>
  </w:footnote>
  <w:footnote w:id="53">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McPherson and Schapiro, “The Future,” 56.</w:t>
      </w:r>
    </w:p>
  </w:footnote>
  <w:footnote w:id="54">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Breneman, </w:t>
      </w:r>
      <w:r w:rsidRPr="00277948">
        <w:rPr>
          <w:i/>
          <w:iCs/>
          <w:sz w:val="22"/>
          <w:szCs w:val="22"/>
        </w:rPr>
        <w:t>Liberal Arts</w:t>
      </w:r>
      <w:r w:rsidRPr="00277948">
        <w:rPr>
          <w:iCs/>
          <w:sz w:val="22"/>
          <w:szCs w:val="22"/>
        </w:rPr>
        <w:t xml:space="preserve">, 21. See </w:t>
      </w:r>
      <w:r w:rsidRPr="00277948">
        <w:rPr>
          <w:sz w:val="22"/>
          <w:szCs w:val="22"/>
        </w:rPr>
        <w:t>Gilbert, “The Liberal Arts</w:t>
      </w:r>
      <w:r w:rsidRPr="00277948">
        <w:rPr>
          <w:iCs/>
          <w:sz w:val="22"/>
          <w:szCs w:val="22"/>
        </w:rPr>
        <w:t>,” 36-38; Hawkins, “Making,” 15-16; Oakley, “</w:t>
      </w:r>
      <w:r w:rsidRPr="00277948">
        <w:rPr>
          <w:bCs/>
          <w:sz w:val="22"/>
          <w:szCs w:val="22"/>
        </w:rPr>
        <w:t>Prologue</w:t>
      </w:r>
      <w:r w:rsidRPr="00277948">
        <w:rPr>
          <w:sz w:val="22"/>
          <w:szCs w:val="22"/>
        </w:rPr>
        <w:t>,” 5.</w:t>
      </w:r>
    </w:p>
  </w:footnote>
  <w:footnote w:id="55">
    <w:p w:rsidR="003033EE" w:rsidRPr="00277948" w:rsidRDefault="003033EE" w:rsidP="00277948">
      <w:pPr>
        <w:spacing w:after="120"/>
        <w:jc w:val="left"/>
        <w:rPr>
          <w:rFonts w:ascii="Times New Roman" w:hAnsi="Times New Roman" w:cs="Times New Roman"/>
        </w:rPr>
      </w:pPr>
      <w:r w:rsidRPr="00277948">
        <w:rPr>
          <w:rStyle w:val="FootnoteReference"/>
          <w:rFonts w:cs="Times New Roman"/>
        </w:rPr>
        <w:footnoteRef/>
      </w:r>
      <w:r w:rsidRPr="00277948">
        <w:rPr>
          <w:rFonts w:ascii="Times New Roman" w:hAnsi="Times New Roman" w:cs="Times New Roman"/>
        </w:rPr>
        <w:t xml:space="preserve"> Snyder, ed., </w:t>
      </w:r>
      <w:r w:rsidRPr="00277948">
        <w:rPr>
          <w:rFonts w:ascii="Times New Roman" w:hAnsi="Times New Roman" w:cs="Times New Roman"/>
          <w:i/>
        </w:rPr>
        <w:t>120 Years</w:t>
      </w:r>
      <w:r w:rsidRPr="00277948">
        <w:rPr>
          <w:rFonts w:ascii="Times New Roman" w:hAnsi="Times New Roman" w:cs="Times New Roman"/>
        </w:rPr>
        <w:t xml:space="preserve">; Carter, et al., </w:t>
      </w:r>
      <w:r w:rsidRPr="00277948">
        <w:rPr>
          <w:rFonts w:ascii="Times New Roman" w:hAnsi="Times New Roman" w:cs="Times New Roman"/>
          <w:i/>
          <w:iCs/>
        </w:rPr>
        <w:t>Historical Statistics</w:t>
      </w:r>
      <w:r w:rsidRPr="00277948">
        <w:rPr>
          <w:rFonts w:ascii="Times New Roman" w:hAnsi="Times New Roman" w:cs="Times New Roman"/>
        </w:rPr>
        <w:t xml:space="preserve">; </w:t>
      </w:r>
      <w:proofErr w:type="spellStart"/>
      <w:r w:rsidRPr="00277948">
        <w:rPr>
          <w:rFonts w:ascii="Times New Roman" w:hAnsi="Times New Roman" w:cs="Times New Roman"/>
        </w:rPr>
        <w:t>HEGIS</w:t>
      </w:r>
      <w:proofErr w:type="spellEnd"/>
      <w:r w:rsidRPr="00277948">
        <w:rPr>
          <w:rFonts w:ascii="Times New Roman" w:hAnsi="Times New Roman" w:cs="Times New Roman"/>
        </w:rPr>
        <w:t xml:space="preserve">, 2008; National Center for Education Statistics, </w:t>
      </w:r>
      <w:r w:rsidRPr="00277948">
        <w:rPr>
          <w:rFonts w:ascii="Times New Roman" w:hAnsi="Times New Roman" w:cs="Times New Roman"/>
          <w:i/>
        </w:rPr>
        <w:t>Digest of Education Statistics, 2008</w:t>
      </w:r>
      <w:r w:rsidRPr="00277948">
        <w:rPr>
          <w:rFonts w:ascii="Times New Roman" w:hAnsi="Times New Roman" w:cs="Times New Roman"/>
        </w:rPr>
        <w:t xml:space="preserve"> (Washington D.C.: U.S. Department of Education, 2009), </w:t>
      </w:r>
      <w:proofErr w:type="spellStart"/>
      <w:r w:rsidRPr="00277948">
        <w:rPr>
          <w:rFonts w:ascii="Times New Roman" w:hAnsi="Times New Roman" w:cs="Times New Roman"/>
        </w:rPr>
        <w:t>ch</w:t>
      </w:r>
      <w:proofErr w:type="spellEnd"/>
      <w:r w:rsidRPr="00277948">
        <w:rPr>
          <w:rFonts w:ascii="Times New Roman" w:hAnsi="Times New Roman" w:cs="Times New Roman"/>
        </w:rPr>
        <w:t xml:space="preserve">. 3. Consulted May 2013 via </w:t>
      </w:r>
      <w:hyperlink r:id="rId4" w:history="1">
        <w:r w:rsidRPr="00277948">
          <w:rPr>
            <w:rStyle w:val="Hyperlink"/>
            <w:rFonts w:ascii="Times New Roman" w:hAnsi="Times New Roman" w:cs="Times New Roman"/>
          </w:rPr>
          <w:t>http://nces.ed.gov/pubsearch/pubsinfo.asp?pubid=2009020</w:t>
        </w:r>
      </w:hyperlink>
      <w:r w:rsidRPr="00277948">
        <w:rPr>
          <w:rFonts w:ascii="Times New Roman" w:hAnsi="Times New Roman" w:cs="Times New Roman"/>
        </w:rPr>
        <w:t>.</w:t>
      </w:r>
    </w:p>
  </w:footnote>
  <w:footnote w:id="56">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Robert M. Hutchins, </w:t>
      </w:r>
      <w:r w:rsidRPr="00277948">
        <w:rPr>
          <w:i/>
          <w:sz w:val="22"/>
          <w:szCs w:val="22"/>
        </w:rPr>
        <w:t>The Higher Learning in America</w:t>
      </w:r>
      <w:r w:rsidRPr="00277948">
        <w:rPr>
          <w:sz w:val="22"/>
          <w:szCs w:val="22"/>
        </w:rPr>
        <w:t xml:space="preserve"> (Chicago: University of Chicago Press, 1936), 80.</w:t>
      </w:r>
    </w:p>
  </w:footnote>
  <w:footnote w:id="57">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On the following, see Robert L. Church and Michael W. Sedlak, </w:t>
      </w:r>
      <w:r w:rsidRPr="00277948">
        <w:rPr>
          <w:i/>
          <w:iCs/>
          <w:sz w:val="22"/>
          <w:szCs w:val="22"/>
        </w:rPr>
        <w:t xml:space="preserve">Education in the United States: An Interpretive History </w:t>
      </w:r>
      <w:r w:rsidRPr="00277948">
        <w:rPr>
          <w:sz w:val="22"/>
          <w:szCs w:val="22"/>
        </w:rPr>
        <w:t xml:space="preserve">(New York: The Free Press, 1976), 41-60;  U.S. Secretary of the Interior, Statistics of the United States...The Final Exhibit of the Eighth [1860] Census  (Washington, D.C.: G.P.O., 1866), x, xiv; Snyder, ed., </w:t>
      </w:r>
      <w:r w:rsidRPr="00277948">
        <w:rPr>
          <w:i/>
          <w:sz w:val="22"/>
          <w:szCs w:val="22"/>
        </w:rPr>
        <w:t>120 Years</w:t>
      </w:r>
      <w:r w:rsidRPr="00277948">
        <w:rPr>
          <w:sz w:val="22"/>
          <w:szCs w:val="22"/>
        </w:rPr>
        <w:t xml:space="preserve">; Carter, et al., </w:t>
      </w:r>
      <w:r w:rsidRPr="00277948">
        <w:rPr>
          <w:i/>
          <w:iCs/>
          <w:sz w:val="22"/>
          <w:szCs w:val="22"/>
        </w:rPr>
        <w:t>Historical Statistics</w:t>
      </w:r>
      <w:r w:rsidRPr="00277948">
        <w:rPr>
          <w:sz w:val="22"/>
          <w:szCs w:val="22"/>
        </w:rPr>
        <w:t xml:space="preserve">; </w:t>
      </w:r>
      <w:proofErr w:type="spellStart"/>
      <w:r w:rsidRPr="00277948">
        <w:rPr>
          <w:sz w:val="22"/>
          <w:szCs w:val="22"/>
        </w:rPr>
        <w:t>HEGIS</w:t>
      </w:r>
      <w:proofErr w:type="spellEnd"/>
      <w:r w:rsidRPr="00277948">
        <w:rPr>
          <w:sz w:val="22"/>
          <w:szCs w:val="22"/>
        </w:rPr>
        <w:t xml:space="preserve">, 2008; </w:t>
      </w:r>
      <w:r w:rsidRPr="00277948">
        <w:rPr>
          <w:i/>
          <w:sz w:val="22"/>
          <w:szCs w:val="22"/>
        </w:rPr>
        <w:t>Digest of Education Statistics, 2008</w:t>
      </w:r>
      <w:r w:rsidRPr="00277948">
        <w:rPr>
          <w:sz w:val="22"/>
          <w:szCs w:val="22"/>
        </w:rPr>
        <w:t>.</w:t>
      </w:r>
    </w:p>
  </w:footnote>
  <w:footnote w:id="58">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Ferrall, </w:t>
      </w:r>
      <w:r w:rsidRPr="00277948">
        <w:rPr>
          <w:i/>
          <w:sz w:val="22"/>
          <w:szCs w:val="22"/>
        </w:rPr>
        <w:t>Liberal Arts</w:t>
      </w:r>
      <w:r w:rsidRPr="00277948">
        <w:rPr>
          <w:sz w:val="22"/>
          <w:szCs w:val="22"/>
        </w:rPr>
        <w:t>, 2.</w:t>
      </w:r>
    </w:p>
  </w:footnote>
  <w:footnote w:id="59">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Gilbert, “The Liberal Arts,” 36-37.</w:t>
      </w:r>
    </w:p>
  </w:footnote>
  <w:footnote w:id="60">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Ferrall, </w:t>
      </w:r>
      <w:r w:rsidRPr="00277948">
        <w:rPr>
          <w:i/>
          <w:sz w:val="22"/>
          <w:szCs w:val="22"/>
        </w:rPr>
        <w:t>Liberal Arts</w:t>
      </w:r>
      <w:r w:rsidRPr="00277948">
        <w:rPr>
          <w:sz w:val="22"/>
          <w:szCs w:val="22"/>
        </w:rPr>
        <w:t>, 2, 195.</w:t>
      </w:r>
    </w:p>
  </w:footnote>
  <w:footnote w:id="61">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Schrecker, </w:t>
      </w:r>
      <w:r w:rsidRPr="00277948">
        <w:rPr>
          <w:i/>
          <w:sz w:val="22"/>
          <w:szCs w:val="22"/>
        </w:rPr>
        <w:t>The Lost Soul</w:t>
      </w:r>
      <w:r w:rsidRPr="00277948">
        <w:rPr>
          <w:sz w:val="22"/>
          <w:szCs w:val="22"/>
        </w:rPr>
        <w:t>, 115.</w:t>
      </w:r>
    </w:p>
  </w:footnote>
  <w:footnote w:id="62">
    <w:p w:rsidR="003033EE" w:rsidRPr="00844544"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w:t>
      </w:r>
      <w:r>
        <w:rPr>
          <w:sz w:val="22"/>
          <w:szCs w:val="22"/>
        </w:rPr>
        <w:t xml:space="preserve">Francis Oakley, </w:t>
      </w:r>
      <w:r>
        <w:rPr>
          <w:i/>
          <w:sz w:val="22"/>
          <w:szCs w:val="22"/>
        </w:rPr>
        <w:t>Community of Learning: The American College and the Liberal Arts Tradition</w:t>
      </w:r>
      <w:r>
        <w:rPr>
          <w:sz w:val="22"/>
          <w:szCs w:val="22"/>
        </w:rPr>
        <w:t xml:space="preserve"> (New York: Oxford University Press, 1992).  </w:t>
      </w:r>
      <w:r w:rsidRPr="00277948">
        <w:rPr>
          <w:sz w:val="22"/>
          <w:szCs w:val="22"/>
        </w:rPr>
        <w:t xml:space="preserve">See the insightful discussion in Mark Roche, </w:t>
      </w:r>
      <w:r w:rsidRPr="00277948">
        <w:rPr>
          <w:i/>
          <w:sz w:val="22"/>
          <w:szCs w:val="22"/>
        </w:rPr>
        <w:t>Why Choose the Liberal Arts?</w:t>
      </w:r>
      <w:r w:rsidRPr="00277948">
        <w:rPr>
          <w:sz w:val="22"/>
          <w:szCs w:val="22"/>
        </w:rPr>
        <w:t>(South Bend: University of Notre Dame Press, 2010), 1-14.</w:t>
      </w:r>
      <w:r>
        <w:rPr>
          <w:sz w:val="22"/>
          <w:szCs w:val="22"/>
        </w:rPr>
        <w:t xml:space="preserve">  Quotation at p. 47. Cf. Christopher Jencks and David Riesman, </w:t>
      </w:r>
      <w:r>
        <w:rPr>
          <w:i/>
          <w:sz w:val="22"/>
          <w:szCs w:val="22"/>
        </w:rPr>
        <w:t>The Academic Revolution</w:t>
      </w:r>
      <w:r>
        <w:rPr>
          <w:sz w:val="22"/>
          <w:szCs w:val="22"/>
        </w:rPr>
        <w:t>, 2d ed. (New York: Doubleday, 1969), 20-27.</w:t>
      </w:r>
    </w:p>
  </w:footnote>
  <w:footnote w:id="63">
    <w:p w:rsidR="003033EE" w:rsidRPr="00277948" w:rsidRDefault="003033EE" w:rsidP="00277948">
      <w:pPr>
        <w:spacing w:after="120"/>
        <w:jc w:val="left"/>
        <w:rPr>
          <w:rFonts w:ascii="Times New Roman" w:hAnsi="Times New Roman" w:cs="Times New Roman"/>
        </w:rPr>
      </w:pPr>
      <w:r w:rsidRPr="00277948">
        <w:rPr>
          <w:rStyle w:val="FootnoteReference"/>
          <w:rFonts w:cs="Times New Roman"/>
        </w:rPr>
        <w:footnoteRef/>
      </w:r>
      <w:r w:rsidRPr="00277948">
        <w:rPr>
          <w:rFonts w:ascii="Times New Roman" w:hAnsi="Times New Roman" w:cs="Times New Roman"/>
        </w:rPr>
        <w:t xml:space="preserve"> National Collegiate Honors Council (2011)  “About </w:t>
      </w:r>
      <w:proofErr w:type="spellStart"/>
      <w:r w:rsidRPr="00277948">
        <w:rPr>
          <w:rFonts w:ascii="Times New Roman" w:hAnsi="Times New Roman" w:cs="Times New Roman"/>
        </w:rPr>
        <w:t>NCHC</w:t>
      </w:r>
      <w:proofErr w:type="spellEnd"/>
      <w:r w:rsidRPr="00277948">
        <w:rPr>
          <w:rFonts w:ascii="Times New Roman" w:hAnsi="Times New Roman" w:cs="Times New Roman"/>
        </w:rPr>
        <w:t xml:space="preserve">.” (2011), accessed July 2011 at </w:t>
      </w:r>
      <w:hyperlink r:id="rId5" w:history="1">
        <w:r w:rsidRPr="00277948">
          <w:rPr>
            <w:rStyle w:val="Hyperlink"/>
            <w:rFonts w:ascii="Times New Roman" w:hAnsi="Times New Roman" w:cs="Times New Roman"/>
          </w:rPr>
          <w:t>http://www.nchchonors.org/aboutnchc.shtml</w:t>
        </w:r>
      </w:hyperlink>
      <w:r w:rsidRPr="00277948">
        <w:rPr>
          <w:rFonts w:ascii="Times New Roman" w:hAnsi="Times New Roman" w:cs="Times New Roman"/>
        </w:rPr>
        <w:t xml:space="preserve">; and “Members” (2013), accessed May 2013 at </w:t>
      </w:r>
      <w:hyperlink r:id="rId6" w:history="1">
        <w:r w:rsidRPr="00277948">
          <w:rPr>
            <w:rStyle w:val="Hyperlink"/>
            <w:rFonts w:ascii="Times New Roman" w:hAnsi="Times New Roman" w:cs="Times New Roman"/>
          </w:rPr>
          <w:t>http://nchchonors.org/members-area/member-institutions-4/</w:t>
        </w:r>
      </w:hyperlink>
      <w:r w:rsidRPr="00277948">
        <w:rPr>
          <w:rFonts w:ascii="Times New Roman" w:hAnsi="Times New Roman" w:cs="Times New Roman"/>
        </w:rPr>
        <w:t>.</w:t>
      </w:r>
    </w:p>
  </w:footnote>
  <w:footnote w:id="64">
    <w:p w:rsidR="003033EE" w:rsidRPr="00277948" w:rsidRDefault="003033EE" w:rsidP="00277948">
      <w:pPr>
        <w:pStyle w:val="FootnoteText"/>
        <w:spacing w:after="120"/>
        <w:ind w:left="0"/>
        <w:jc w:val="left"/>
        <w:rPr>
          <w:sz w:val="22"/>
          <w:szCs w:val="22"/>
        </w:rPr>
      </w:pPr>
      <w:r w:rsidRPr="00277948">
        <w:rPr>
          <w:rStyle w:val="FootnoteReference"/>
          <w:szCs w:val="22"/>
        </w:rPr>
        <w:footnoteRef/>
      </w:r>
      <w:r w:rsidRPr="00277948">
        <w:rPr>
          <w:sz w:val="22"/>
          <w:szCs w:val="22"/>
        </w:rPr>
        <w:t xml:space="preserve"> Ferrall, </w:t>
      </w:r>
      <w:r w:rsidRPr="00277948">
        <w:rPr>
          <w:i/>
          <w:sz w:val="22"/>
          <w:szCs w:val="22"/>
        </w:rPr>
        <w:t>Liberal Arts</w:t>
      </w:r>
      <w:r w:rsidRPr="00277948">
        <w:rPr>
          <w:sz w:val="22"/>
          <w:szCs w:val="22"/>
        </w:rPr>
        <w:t>, 7</w:t>
      </w:r>
      <w:r>
        <w:rPr>
          <w:sz w:val="22"/>
          <w:szCs w:val="22"/>
        </w:rPr>
        <w:t>5</w:t>
      </w:r>
      <w:r w:rsidRPr="00277948">
        <w:rPr>
          <w:sz w:val="22"/>
          <w:szCs w:val="22"/>
        </w:rPr>
        <w:t>-78, 157.</w:t>
      </w:r>
    </w:p>
  </w:footnote>
  <w:footnote w:id="65">
    <w:p w:rsidR="003033EE" w:rsidRDefault="003033EE" w:rsidP="000B6156">
      <w:pPr>
        <w:pStyle w:val="FootnoteText"/>
        <w:ind w:left="0"/>
      </w:pPr>
      <w:r>
        <w:rPr>
          <w:rStyle w:val="FootnoteReference"/>
        </w:rPr>
        <w:footnoteRef/>
      </w:r>
      <w:r>
        <w:t xml:space="preserve"> </w:t>
      </w:r>
      <w:r w:rsidRPr="005C7B83">
        <w:rPr>
          <w:sz w:val="24"/>
        </w:rPr>
        <w:t xml:space="preserve"> </w:t>
      </w:r>
      <w:r>
        <w:rPr>
          <w:sz w:val="24"/>
        </w:rPr>
        <w:t xml:space="preserve">Ferrall, </w:t>
      </w:r>
      <w:r>
        <w:rPr>
          <w:i/>
          <w:sz w:val="24"/>
        </w:rPr>
        <w:t>Liberal Arts</w:t>
      </w:r>
      <w:r>
        <w:rPr>
          <w:sz w:val="24"/>
        </w:rPr>
        <w:t>, 77-78.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9344"/>
      <w:docPartObj>
        <w:docPartGallery w:val="Page Numbers (Top of Page)"/>
        <w:docPartUnique/>
      </w:docPartObj>
    </w:sdtPr>
    <w:sdtEndPr>
      <w:rPr>
        <w:rFonts w:ascii="Times New Roman" w:hAnsi="Times New Roman" w:cs="Times New Roman"/>
        <w:sz w:val="24"/>
        <w:szCs w:val="24"/>
      </w:rPr>
    </w:sdtEndPr>
    <w:sdtContent>
      <w:p w:rsidR="003033EE" w:rsidRDefault="00A31125">
        <w:pPr>
          <w:pStyle w:val="Header"/>
          <w:jc w:val="right"/>
        </w:pPr>
        <w:r w:rsidRPr="00D339D0">
          <w:rPr>
            <w:rFonts w:ascii="Times New Roman" w:hAnsi="Times New Roman" w:cs="Times New Roman"/>
            <w:sz w:val="24"/>
            <w:szCs w:val="24"/>
          </w:rPr>
          <w:fldChar w:fldCharType="begin"/>
        </w:r>
        <w:r w:rsidR="003033EE" w:rsidRPr="00D339D0">
          <w:rPr>
            <w:rFonts w:ascii="Times New Roman" w:hAnsi="Times New Roman" w:cs="Times New Roman"/>
            <w:sz w:val="24"/>
            <w:szCs w:val="24"/>
          </w:rPr>
          <w:instrText xml:space="preserve"> PAGE   \* MERGEFORMAT </w:instrText>
        </w:r>
        <w:r w:rsidRPr="00D339D0">
          <w:rPr>
            <w:rFonts w:ascii="Times New Roman" w:hAnsi="Times New Roman" w:cs="Times New Roman"/>
            <w:sz w:val="24"/>
            <w:szCs w:val="24"/>
          </w:rPr>
          <w:fldChar w:fldCharType="separate"/>
        </w:r>
        <w:r w:rsidR="00023586">
          <w:rPr>
            <w:rFonts w:ascii="Times New Roman" w:hAnsi="Times New Roman" w:cs="Times New Roman"/>
            <w:noProof/>
            <w:sz w:val="24"/>
            <w:szCs w:val="24"/>
          </w:rPr>
          <w:t>2</w:t>
        </w:r>
        <w:r w:rsidRPr="00D339D0">
          <w:rPr>
            <w:rFonts w:ascii="Times New Roman" w:hAnsi="Times New Roman" w:cs="Times New Roman"/>
            <w:sz w:val="24"/>
            <w:szCs w:val="24"/>
          </w:rPr>
          <w:fldChar w:fldCharType="end"/>
        </w:r>
      </w:p>
    </w:sdtContent>
  </w:sdt>
  <w:p w:rsidR="003033EE" w:rsidRDefault="003033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defaultTabStop w:val="720"/>
  <w:drawingGridHorizontalSpacing w:val="110"/>
  <w:displayHorizontalDrawingGridEvery w:val="2"/>
  <w:characterSpacingControl w:val="doNotCompress"/>
  <w:hdrShapeDefaults>
    <o:shapedefaults v:ext="edit" spidmax="72706"/>
  </w:hdrShapeDefaults>
  <w:footnotePr>
    <w:footnote w:id="-1"/>
    <w:footnote w:id="0"/>
  </w:footnotePr>
  <w:endnotePr>
    <w:numFmt w:val="decimal"/>
    <w:endnote w:id="-1"/>
    <w:endnote w:id="0"/>
  </w:endnotePr>
  <w:compat>
    <w:showBreaksInFrames/>
  </w:compat>
  <w:rsids>
    <w:rsidRoot w:val="00C27B30"/>
    <w:rsid w:val="0000023E"/>
    <w:rsid w:val="00000D5E"/>
    <w:rsid w:val="00003498"/>
    <w:rsid w:val="00003E8C"/>
    <w:rsid w:val="0000584F"/>
    <w:rsid w:val="00006DEB"/>
    <w:rsid w:val="00010802"/>
    <w:rsid w:val="00010C56"/>
    <w:rsid w:val="00011965"/>
    <w:rsid w:val="0001198D"/>
    <w:rsid w:val="00011F33"/>
    <w:rsid w:val="00012258"/>
    <w:rsid w:val="000139E6"/>
    <w:rsid w:val="00013E96"/>
    <w:rsid w:val="00014749"/>
    <w:rsid w:val="00014C9A"/>
    <w:rsid w:val="0001534D"/>
    <w:rsid w:val="00015571"/>
    <w:rsid w:val="00015C72"/>
    <w:rsid w:val="00017AA8"/>
    <w:rsid w:val="0002010A"/>
    <w:rsid w:val="00020E58"/>
    <w:rsid w:val="00021FE3"/>
    <w:rsid w:val="00023586"/>
    <w:rsid w:val="000244F2"/>
    <w:rsid w:val="000247D3"/>
    <w:rsid w:val="0002511F"/>
    <w:rsid w:val="00025210"/>
    <w:rsid w:val="00026FEC"/>
    <w:rsid w:val="00031447"/>
    <w:rsid w:val="00031598"/>
    <w:rsid w:val="00031F21"/>
    <w:rsid w:val="00032663"/>
    <w:rsid w:val="00033480"/>
    <w:rsid w:val="00034011"/>
    <w:rsid w:val="0004005F"/>
    <w:rsid w:val="00040C5E"/>
    <w:rsid w:val="00041116"/>
    <w:rsid w:val="0004111F"/>
    <w:rsid w:val="00043184"/>
    <w:rsid w:val="0004370F"/>
    <w:rsid w:val="00043B34"/>
    <w:rsid w:val="00043B7F"/>
    <w:rsid w:val="00044254"/>
    <w:rsid w:val="000445B4"/>
    <w:rsid w:val="0004521B"/>
    <w:rsid w:val="00045A04"/>
    <w:rsid w:val="000472A7"/>
    <w:rsid w:val="000474E9"/>
    <w:rsid w:val="00050C10"/>
    <w:rsid w:val="0005201A"/>
    <w:rsid w:val="00052FB9"/>
    <w:rsid w:val="00053027"/>
    <w:rsid w:val="00053A3D"/>
    <w:rsid w:val="00054D7F"/>
    <w:rsid w:val="000552C2"/>
    <w:rsid w:val="00056740"/>
    <w:rsid w:val="000634F7"/>
    <w:rsid w:val="00063A3C"/>
    <w:rsid w:val="00063EAD"/>
    <w:rsid w:val="000648E6"/>
    <w:rsid w:val="00064B17"/>
    <w:rsid w:val="00065230"/>
    <w:rsid w:val="00072A08"/>
    <w:rsid w:val="00073B91"/>
    <w:rsid w:val="00074634"/>
    <w:rsid w:val="00074A14"/>
    <w:rsid w:val="00074E9F"/>
    <w:rsid w:val="00075F63"/>
    <w:rsid w:val="0007644E"/>
    <w:rsid w:val="0008048B"/>
    <w:rsid w:val="000823B7"/>
    <w:rsid w:val="00083E2B"/>
    <w:rsid w:val="00083FEB"/>
    <w:rsid w:val="00084C35"/>
    <w:rsid w:val="0008639B"/>
    <w:rsid w:val="00091BBA"/>
    <w:rsid w:val="00091F48"/>
    <w:rsid w:val="00092489"/>
    <w:rsid w:val="000951AA"/>
    <w:rsid w:val="00096F0E"/>
    <w:rsid w:val="000A13C2"/>
    <w:rsid w:val="000A2CF0"/>
    <w:rsid w:val="000A3182"/>
    <w:rsid w:val="000A6714"/>
    <w:rsid w:val="000B2A1A"/>
    <w:rsid w:val="000B2C97"/>
    <w:rsid w:val="000B2CB7"/>
    <w:rsid w:val="000B2DCD"/>
    <w:rsid w:val="000B40F7"/>
    <w:rsid w:val="000B4709"/>
    <w:rsid w:val="000B4EEE"/>
    <w:rsid w:val="000B51E2"/>
    <w:rsid w:val="000B5688"/>
    <w:rsid w:val="000B5722"/>
    <w:rsid w:val="000B6156"/>
    <w:rsid w:val="000B6D78"/>
    <w:rsid w:val="000C0956"/>
    <w:rsid w:val="000C3A3D"/>
    <w:rsid w:val="000D01C0"/>
    <w:rsid w:val="000D0669"/>
    <w:rsid w:val="000D2438"/>
    <w:rsid w:val="000D553B"/>
    <w:rsid w:val="000E0422"/>
    <w:rsid w:val="000E1601"/>
    <w:rsid w:val="000E1C51"/>
    <w:rsid w:val="000E1CE5"/>
    <w:rsid w:val="000E2CFD"/>
    <w:rsid w:val="000E3792"/>
    <w:rsid w:val="000E7746"/>
    <w:rsid w:val="000F179D"/>
    <w:rsid w:val="000F1831"/>
    <w:rsid w:val="000F1FA3"/>
    <w:rsid w:val="000F38A0"/>
    <w:rsid w:val="000F7D2F"/>
    <w:rsid w:val="00100F3A"/>
    <w:rsid w:val="00102E96"/>
    <w:rsid w:val="00103545"/>
    <w:rsid w:val="00105284"/>
    <w:rsid w:val="0010541F"/>
    <w:rsid w:val="0010609C"/>
    <w:rsid w:val="00107331"/>
    <w:rsid w:val="00110457"/>
    <w:rsid w:val="00111EAE"/>
    <w:rsid w:val="001151F9"/>
    <w:rsid w:val="00115D6A"/>
    <w:rsid w:val="00115DAF"/>
    <w:rsid w:val="00117B7D"/>
    <w:rsid w:val="00117E78"/>
    <w:rsid w:val="00121FC5"/>
    <w:rsid w:val="0012475F"/>
    <w:rsid w:val="00124828"/>
    <w:rsid w:val="00124CC7"/>
    <w:rsid w:val="001256E5"/>
    <w:rsid w:val="00125D5F"/>
    <w:rsid w:val="00127021"/>
    <w:rsid w:val="00127182"/>
    <w:rsid w:val="00127560"/>
    <w:rsid w:val="001279DD"/>
    <w:rsid w:val="00127F90"/>
    <w:rsid w:val="00131145"/>
    <w:rsid w:val="00132AAB"/>
    <w:rsid w:val="00133329"/>
    <w:rsid w:val="00134738"/>
    <w:rsid w:val="00134B19"/>
    <w:rsid w:val="00134CCB"/>
    <w:rsid w:val="00135231"/>
    <w:rsid w:val="00144BA8"/>
    <w:rsid w:val="0014504E"/>
    <w:rsid w:val="00145501"/>
    <w:rsid w:val="00145AE0"/>
    <w:rsid w:val="001474A9"/>
    <w:rsid w:val="001474C7"/>
    <w:rsid w:val="001478A2"/>
    <w:rsid w:val="00151487"/>
    <w:rsid w:val="00151A9C"/>
    <w:rsid w:val="0015279A"/>
    <w:rsid w:val="00152F47"/>
    <w:rsid w:val="00153805"/>
    <w:rsid w:val="001542A5"/>
    <w:rsid w:val="0015532F"/>
    <w:rsid w:val="001567E1"/>
    <w:rsid w:val="001578EB"/>
    <w:rsid w:val="00160C3E"/>
    <w:rsid w:val="00161AA3"/>
    <w:rsid w:val="00164853"/>
    <w:rsid w:val="001650B8"/>
    <w:rsid w:val="0016667E"/>
    <w:rsid w:val="001673F1"/>
    <w:rsid w:val="00170033"/>
    <w:rsid w:val="00170068"/>
    <w:rsid w:val="001724CD"/>
    <w:rsid w:val="001733A8"/>
    <w:rsid w:val="00173C2D"/>
    <w:rsid w:val="001776A0"/>
    <w:rsid w:val="0017795B"/>
    <w:rsid w:val="00181380"/>
    <w:rsid w:val="00182973"/>
    <w:rsid w:val="00182E07"/>
    <w:rsid w:val="00183A18"/>
    <w:rsid w:val="001843EB"/>
    <w:rsid w:val="00185E32"/>
    <w:rsid w:val="00186136"/>
    <w:rsid w:val="001874E1"/>
    <w:rsid w:val="001912F1"/>
    <w:rsid w:val="00192335"/>
    <w:rsid w:val="00193854"/>
    <w:rsid w:val="00197EC7"/>
    <w:rsid w:val="001A039D"/>
    <w:rsid w:val="001A08FB"/>
    <w:rsid w:val="001A0A13"/>
    <w:rsid w:val="001A1260"/>
    <w:rsid w:val="001A41F8"/>
    <w:rsid w:val="001A66C7"/>
    <w:rsid w:val="001B029C"/>
    <w:rsid w:val="001B0E61"/>
    <w:rsid w:val="001B1AF7"/>
    <w:rsid w:val="001B355E"/>
    <w:rsid w:val="001B4551"/>
    <w:rsid w:val="001B4B73"/>
    <w:rsid w:val="001B5CD4"/>
    <w:rsid w:val="001B62C7"/>
    <w:rsid w:val="001C0314"/>
    <w:rsid w:val="001C1BB9"/>
    <w:rsid w:val="001C43F0"/>
    <w:rsid w:val="001C49A3"/>
    <w:rsid w:val="001C4E47"/>
    <w:rsid w:val="001C6B2E"/>
    <w:rsid w:val="001D0272"/>
    <w:rsid w:val="001D4F2B"/>
    <w:rsid w:val="001E09EF"/>
    <w:rsid w:val="001E0C75"/>
    <w:rsid w:val="001E21A1"/>
    <w:rsid w:val="001E2677"/>
    <w:rsid w:val="001E4D12"/>
    <w:rsid w:val="001E56F7"/>
    <w:rsid w:val="001E6024"/>
    <w:rsid w:val="001E70B7"/>
    <w:rsid w:val="001E7ED4"/>
    <w:rsid w:val="001F1312"/>
    <w:rsid w:val="001F1E8B"/>
    <w:rsid w:val="001F37E8"/>
    <w:rsid w:val="00203217"/>
    <w:rsid w:val="00204A74"/>
    <w:rsid w:val="00205502"/>
    <w:rsid w:val="002060D7"/>
    <w:rsid w:val="00206CBA"/>
    <w:rsid w:val="00210E12"/>
    <w:rsid w:val="00211312"/>
    <w:rsid w:val="00211C46"/>
    <w:rsid w:val="00214391"/>
    <w:rsid w:val="00214DF2"/>
    <w:rsid w:val="00215099"/>
    <w:rsid w:val="002169D3"/>
    <w:rsid w:val="00220A1A"/>
    <w:rsid w:val="00221728"/>
    <w:rsid w:val="002229AF"/>
    <w:rsid w:val="00224F4C"/>
    <w:rsid w:val="00225743"/>
    <w:rsid w:val="002257B2"/>
    <w:rsid w:val="00226326"/>
    <w:rsid w:val="002366DB"/>
    <w:rsid w:val="00237653"/>
    <w:rsid w:val="00237FC1"/>
    <w:rsid w:val="00240DE7"/>
    <w:rsid w:val="00243F62"/>
    <w:rsid w:val="00244AA4"/>
    <w:rsid w:val="002468FC"/>
    <w:rsid w:val="00246C1F"/>
    <w:rsid w:val="0025029F"/>
    <w:rsid w:val="00250BC7"/>
    <w:rsid w:val="00251C93"/>
    <w:rsid w:val="00252297"/>
    <w:rsid w:val="00252C0E"/>
    <w:rsid w:val="00255BA5"/>
    <w:rsid w:val="00256DEC"/>
    <w:rsid w:val="00257087"/>
    <w:rsid w:val="0025724E"/>
    <w:rsid w:val="002577C7"/>
    <w:rsid w:val="00260EA3"/>
    <w:rsid w:val="00261129"/>
    <w:rsid w:val="00261317"/>
    <w:rsid w:val="00262B4E"/>
    <w:rsid w:val="00263B7B"/>
    <w:rsid w:val="002650E5"/>
    <w:rsid w:val="0026570A"/>
    <w:rsid w:val="00266EED"/>
    <w:rsid w:val="00270B45"/>
    <w:rsid w:val="00271EEB"/>
    <w:rsid w:val="00272412"/>
    <w:rsid w:val="00275BC3"/>
    <w:rsid w:val="00275E6A"/>
    <w:rsid w:val="0027771D"/>
    <w:rsid w:val="00277948"/>
    <w:rsid w:val="0028002B"/>
    <w:rsid w:val="00280EE7"/>
    <w:rsid w:val="00281BDE"/>
    <w:rsid w:val="00283D5A"/>
    <w:rsid w:val="0028415E"/>
    <w:rsid w:val="0029124E"/>
    <w:rsid w:val="0029252E"/>
    <w:rsid w:val="00292DF4"/>
    <w:rsid w:val="00293DBD"/>
    <w:rsid w:val="0029446B"/>
    <w:rsid w:val="002956DB"/>
    <w:rsid w:val="00295892"/>
    <w:rsid w:val="00297A41"/>
    <w:rsid w:val="002A02A6"/>
    <w:rsid w:val="002A1D53"/>
    <w:rsid w:val="002A7A76"/>
    <w:rsid w:val="002A7DBC"/>
    <w:rsid w:val="002B256B"/>
    <w:rsid w:val="002B2DA9"/>
    <w:rsid w:val="002B3FA1"/>
    <w:rsid w:val="002B4266"/>
    <w:rsid w:val="002B4542"/>
    <w:rsid w:val="002B6BDE"/>
    <w:rsid w:val="002C0C68"/>
    <w:rsid w:val="002C14B7"/>
    <w:rsid w:val="002C1729"/>
    <w:rsid w:val="002C22E5"/>
    <w:rsid w:val="002C284D"/>
    <w:rsid w:val="002C46FF"/>
    <w:rsid w:val="002C4E69"/>
    <w:rsid w:val="002C5330"/>
    <w:rsid w:val="002C737E"/>
    <w:rsid w:val="002D22B5"/>
    <w:rsid w:val="002D3C84"/>
    <w:rsid w:val="002D6119"/>
    <w:rsid w:val="002E4F0E"/>
    <w:rsid w:val="002E5E4B"/>
    <w:rsid w:val="002E79ED"/>
    <w:rsid w:val="002F0523"/>
    <w:rsid w:val="002F066B"/>
    <w:rsid w:val="002F12E2"/>
    <w:rsid w:val="002F1FDD"/>
    <w:rsid w:val="002F214A"/>
    <w:rsid w:val="002F4038"/>
    <w:rsid w:val="002F423E"/>
    <w:rsid w:val="002F5BBA"/>
    <w:rsid w:val="002F75F5"/>
    <w:rsid w:val="002F7B97"/>
    <w:rsid w:val="00303302"/>
    <w:rsid w:val="003033EE"/>
    <w:rsid w:val="00303B7D"/>
    <w:rsid w:val="003115F1"/>
    <w:rsid w:val="00311838"/>
    <w:rsid w:val="00312A45"/>
    <w:rsid w:val="0031397B"/>
    <w:rsid w:val="003146F8"/>
    <w:rsid w:val="00315B38"/>
    <w:rsid w:val="00317A10"/>
    <w:rsid w:val="00321419"/>
    <w:rsid w:val="00321453"/>
    <w:rsid w:val="003216D2"/>
    <w:rsid w:val="003218CB"/>
    <w:rsid w:val="00321EBE"/>
    <w:rsid w:val="00323E42"/>
    <w:rsid w:val="0032436A"/>
    <w:rsid w:val="0032512E"/>
    <w:rsid w:val="003257BB"/>
    <w:rsid w:val="00325C0F"/>
    <w:rsid w:val="003266A6"/>
    <w:rsid w:val="0033007C"/>
    <w:rsid w:val="00330528"/>
    <w:rsid w:val="003327D0"/>
    <w:rsid w:val="003329C5"/>
    <w:rsid w:val="003349F8"/>
    <w:rsid w:val="00334D7D"/>
    <w:rsid w:val="0033510C"/>
    <w:rsid w:val="003359A1"/>
    <w:rsid w:val="003441EB"/>
    <w:rsid w:val="00345B4E"/>
    <w:rsid w:val="0034606A"/>
    <w:rsid w:val="00347A36"/>
    <w:rsid w:val="00347E9B"/>
    <w:rsid w:val="003512A8"/>
    <w:rsid w:val="00351B1F"/>
    <w:rsid w:val="003523F3"/>
    <w:rsid w:val="0035321A"/>
    <w:rsid w:val="00356A1D"/>
    <w:rsid w:val="00357D87"/>
    <w:rsid w:val="0036018E"/>
    <w:rsid w:val="00364F53"/>
    <w:rsid w:val="0036500F"/>
    <w:rsid w:val="00365FC1"/>
    <w:rsid w:val="00366AC9"/>
    <w:rsid w:val="003746C4"/>
    <w:rsid w:val="00376FA3"/>
    <w:rsid w:val="00380535"/>
    <w:rsid w:val="00380BD1"/>
    <w:rsid w:val="00381D7E"/>
    <w:rsid w:val="00382647"/>
    <w:rsid w:val="00387063"/>
    <w:rsid w:val="003875B2"/>
    <w:rsid w:val="0038788C"/>
    <w:rsid w:val="0038799B"/>
    <w:rsid w:val="00387E0E"/>
    <w:rsid w:val="00387EF1"/>
    <w:rsid w:val="00391110"/>
    <w:rsid w:val="0039132D"/>
    <w:rsid w:val="003949CE"/>
    <w:rsid w:val="003953BC"/>
    <w:rsid w:val="00395F4A"/>
    <w:rsid w:val="00396394"/>
    <w:rsid w:val="00397171"/>
    <w:rsid w:val="003A6E2E"/>
    <w:rsid w:val="003B00C0"/>
    <w:rsid w:val="003B0EB5"/>
    <w:rsid w:val="003B251E"/>
    <w:rsid w:val="003B3395"/>
    <w:rsid w:val="003B4505"/>
    <w:rsid w:val="003C1112"/>
    <w:rsid w:val="003C51EB"/>
    <w:rsid w:val="003C6BE0"/>
    <w:rsid w:val="003D0192"/>
    <w:rsid w:val="003D53A4"/>
    <w:rsid w:val="003D5FBC"/>
    <w:rsid w:val="003D7AA2"/>
    <w:rsid w:val="003E0559"/>
    <w:rsid w:val="003E4D2E"/>
    <w:rsid w:val="003E5753"/>
    <w:rsid w:val="003E77E9"/>
    <w:rsid w:val="003F1035"/>
    <w:rsid w:val="003F283F"/>
    <w:rsid w:val="003F4D2A"/>
    <w:rsid w:val="003F5152"/>
    <w:rsid w:val="003F64EC"/>
    <w:rsid w:val="003F67CA"/>
    <w:rsid w:val="003F7630"/>
    <w:rsid w:val="004004B1"/>
    <w:rsid w:val="004006C1"/>
    <w:rsid w:val="00402D9C"/>
    <w:rsid w:val="00403191"/>
    <w:rsid w:val="004031B1"/>
    <w:rsid w:val="00403DA3"/>
    <w:rsid w:val="004055A6"/>
    <w:rsid w:val="00405BF7"/>
    <w:rsid w:val="00411303"/>
    <w:rsid w:val="004128F0"/>
    <w:rsid w:val="00412A27"/>
    <w:rsid w:val="00412ECD"/>
    <w:rsid w:val="004140C7"/>
    <w:rsid w:val="00414562"/>
    <w:rsid w:val="004154F2"/>
    <w:rsid w:val="004155EF"/>
    <w:rsid w:val="00416486"/>
    <w:rsid w:val="00416EF6"/>
    <w:rsid w:val="004205AE"/>
    <w:rsid w:val="00420A7A"/>
    <w:rsid w:val="004210E6"/>
    <w:rsid w:val="00423A67"/>
    <w:rsid w:val="004258D4"/>
    <w:rsid w:val="004272D9"/>
    <w:rsid w:val="00427413"/>
    <w:rsid w:val="004347BF"/>
    <w:rsid w:val="00435BC2"/>
    <w:rsid w:val="00437FF9"/>
    <w:rsid w:val="00441674"/>
    <w:rsid w:val="00443497"/>
    <w:rsid w:val="0044601A"/>
    <w:rsid w:val="00450FED"/>
    <w:rsid w:val="00451C3C"/>
    <w:rsid w:val="00451C91"/>
    <w:rsid w:val="00452BAF"/>
    <w:rsid w:val="004570C0"/>
    <w:rsid w:val="00457B79"/>
    <w:rsid w:val="00462D98"/>
    <w:rsid w:val="004638F7"/>
    <w:rsid w:val="00464EAA"/>
    <w:rsid w:val="00465E29"/>
    <w:rsid w:val="00467BF5"/>
    <w:rsid w:val="004704B5"/>
    <w:rsid w:val="00470EF2"/>
    <w:rsid w:val="0047411E"/>
    <w:rsid w:val="00476203"/>
    <w:rsid w:val="00485C0C"/>
    <w:rsid w:val="00494566"/>
    <w:rsid w:val="0049499F"/>
    <w:rsid w:val="00494D79"/>
    <w:rsid w:val="004A15BF"/>
    <w:rsid w:val="004A15C7"/>
    <w:rsid w:val="004A234C"/>
    <w:rsid w:val="004A24EC"/>
    <w:rsid w:val="004A33F8"/>
    <w:rsid w:val="004A3D5D"/>
    <w:rsid w:val="004A66FE"/>
    <w:rsid w:val="004A7A09"/>
    <w:rsid w:val="004A7A9F"/>
    <w:rsid w:val="004A7B4B"/>
    <w:rsid w:val="004B5592"/>
    <w:rsid w:val="004B762B"/>
    <w:rsid w:val="004C0246"/>
    <w:rsid w:val="004C0A73"/>
    <w:rsid w:val="004C2C6D"/>
    <w:rsid w:val="004C32CE"/>
    <w:rsid w:val="004C3E92"/>
    <w:rsid w:val="004C7621"/>
    <w:rsid w:val="004C7DB9"/>
    <w:rsid w:val="004D0C56"/>
    <w:rsid w:val="004D14EE"/>
    <w:rsid w:val="004D1BA7"/>
    <w:rsid w:val="004D2A97"/>
    <w:rsid w:val="004D35FF"/>
    <w:rsid w:val="004D50DB"/>
    <w:rsid w:val="004D5D40"/>
    <w:rsid w:val="004D5F5A"/>
    <w:rsid w:val="004D7AE6"/>
    <w:rsid w:val="004D7CE6"/>
    <w:rsid w:val="004E066A"/>
    <w:rsid w:val="004E147C"/>
    <w:rsid w:val="004E1C3F"/>
    <w:rsid w:val="004E3863"/>
    <w:rsid w:val="004E4469"/>
    <w:rsid w:val="004E46B1"/>
    <w:rsid w:val="004E7A27"/>
    <w:rsid w:val="004F1A84"/>
    <w:rsid w:val="004F1AFF"/>
    <w:rsid w:val="004F4709"/>
    <w:rsid w:val="004F6A68"/>
    <w:rsid w:val="004F7CA2"/>
    <w:rsid w:val="004F7D77"/>
    <w:rsid w:val="0050098D"/>
    <w:rsid w:val="005028C7"/>
    <w:rsid w:val="0050379A"/>
    <w:rsid w:val="0050588D"/>
    <w:rsid w:val="00505DE9"/>
    <w:rsid w:val="005064A6"/>
    <w:rsid w:val="00507E06"/>
    <w:rsid w:val="00514ED4"/>
    <w:rsid w:val="00522C81"/>
    <w:rsid w:val="005237D8"/>
    <w:rsid w:val="005257A2"/>
    <w:rsid w:val="00530062"/>
    <w:rsid w:val="00530087"/>
    <w:rsid w:val="00530473"/>
    <w:rsid w:val="00530769"/>
    <w:rsid w:val="00530C62"/>
    <w:rsid w:val="0053113A"/>
    <w:rsid w:val="00531511"/>
    <w:rsid w:val="00532099"/>
    <w:rsid w:val="00532D21"/>
    <w:rsid w:val="0053353E"/>
    <w:rsid w:val="0053509A"/>
    <w:rsid w:val="005369C3"/>
    <w:rsid w:val="0054273C"/>
    <w:rsid w:val="00542E80"/>
    <w:rsid w:val="00543223"/>
    <w:rsid w:val="00546D9C"/>
    <w:rsid w:val="0055016E"/>
    <w:rsid w:val="005502F4"/>
    <w:rsid w:val="00550B8A"/>
    <w:rsid w:val="005518F9"/>
    <w:rsid w:val="0055352D"/>
    <w:rsid w:val="00553788"/>
    <w:rsid w:val="0055612F"/>
    <w:rsid w:val="0055683A"/>
    <w:rsid w:val="00556B4E"/>
    <w:rsid w:val="005609CA"/>
    <w:rsid w:val="005639E4"/>
    <w:rsid w:val="005645CB"/>
    <w:rsid w:val="0056771F"/>
    <w:rsid w:val="005776C3"/>
    <w:rsid w:val="00580304"/>
    <w:rsid w:val="00581072"/>
    <w:rsid w:val="00582C83"/>
    <w:rsid w:val="00582E62"/>
    <w:rsid w:val="00583039"/>
    <w:rsid w:val="005833C8"/>
    <w:rsid w:val="005838F3"/>
    <w:rsid w:val="00584F05"/>
    <w:rsid w:val="0058515A"/>
    <w:rsid w:val="005853C2"/>
    <w:rsid w:val="005925DB"/>
    <w:rsid w:val="005939C5"/>
    <w:rsid w:val="00593E02"/>
    <w:rsid w:val="00594726"/>
    <w:rsid w:val="00595B41"/>
    <w:rsid w:val="005963A1"/>
    <w:rsid w:val="005A1478"/>
    <w:rsid w:val="005A41A9"/>
    <w:rsid w:val="005A4EEC"/>
    <w:rsid w:val="005A6846"/>
    <w:rsid w:val="005A73CB"/>
    <w:rsid w:val="005B048A"/>
    <w:rsid w:val="005B0F15"/>
    <w:rsid w:val="005B14DA"/>
    <w:rsid w:val="005B1D37"/>
    <w:rsid w:val="005B3979"/>
    <w:rsid w:val="005B6158"/>
    <w:rsid w:val="005B6BF2"/>
    <w:rsid w:val="005C017C"/>
    <w:rsid w:val="005C42CA"/>
    <w:rsid w:val="005C4F7A"/>
    <w:rsid w:val="005C73C1"/>
    <w:rsid w:val="005C7538"/>
    <w:rsid w:val="005C7EC0"/>
    <w:rsid w:val="005D1AC7"/>
    <w:rsid w:val="005D219E"/>
    <w:rsid w:val="005D22B5"/>
    <w:rsid w:val="005D22F3"/>
    <w:rsid w:val="005D280A"/>
    <w:rsid w:val="005D483E"/>
    <w:rsid w:val="005D554C"/>
    <w:rsid w:val="005D634D"/>
    <w:rsid w:val="005D76B2"/>
    <w:rsid w:val="005D7D02"/>
    <w:rsid w:val="005D7DD5"/>
    <w:rsid w:val="005E021A"/>
    <w:rsid w:val="005E0C25"/>
    <w:rsid w:val="005E0FEC"/>
    <w:rsid w:val="005E10B8"/>
    <w:rsid w:val="005E1532"/>
    <w:rsid w:val="005E1893"/>
    <w:rsid w:val="005E26B4"/>
    <w:rsid w:val="005E27E7"/>
    <w:rsid w:val="005E514B"/>
    <w:rsid w:val="005E7046"/>
    <w:rsid w:val="005F0FD6"/>
    <w:rsid w:val="005F2798"/>
    <w:rsid w:val="005F585E"/>
    <w:rsid w:val="00602288"/>
    <w:rsid w:val="006032AE"/>
    <w:rsid w:val="006054C0"/>
    <w:rsid w:val="00610627"/>
    <w:rsid w:val="00613ED9"/>
    <w:rsid w:val="0061446B"/>
    <w:rsid w:val="0061550C"/>
    <w:rsid w:val="00615DFF"/>
    <w:rsid w:val="006207E8"/>
    <w:rsid w:val="00620A0A"/>
    <w:rsid w:val="00621166"/>
    <w:rsid w:val="00622C80"/>
    <w:rsid w:val="00624ABC"/>
    <w:rsid w:val="00624ED5"/>
    <w:rsid w:val="0062518C"/>
    <w:rsid w:val="006256A6"/>
    <w:rsid w:val="00625BEE"/>
    <w:rsid w:val="00626526"/>
    <w:rsid w:val="00626872"/>
    <w:rsid w:val="006302AB"/>
    <w:rsid w:val="0063039D"/>
    <w:rsid w:val="00633D83"/>
    <w:rsid w:val="0063497D"/>
    <w:rsid w:val="00635B8F"/>
    <w:rsid w:val="006362C9"/>
    <w:rsid w:val="00636627"/>
    <w:rsid w:val="00636928"/>
    <w:rsid w:val="00640630"/>
    <w:rsid w:val="00640FAF"/>
    <w:rsid w:val="006428C7"/>
    <w:rsid w:val="00642B74"/>
    <w:rsid w:val="00642F2E"/>
    <w:rsid w:val="006431AB"/>
    <w:rsid w:val="00646EF6"/>
    <w:rsid w:val="006479F1"/>
    <w:rsid w:val="0065154B"/>
    <w:rsid w:val="006549B2"/>
    <w:rsid w:val="00657164"/>
    <w:rsid w:val="00657AB1"/>
    <w:rsid w:val="00657BBD"/>
    <w:rsid w:val="006602AB"/>
    <w:rsid w:val="0066072A"/>
    <w:rsid w:val="0066162F"/>
    <w:rsid w:val="00662F85"/>
    <w:rsid w:val="00663FF6"/>
    <w:rsid w:val="006643EA"/>
    <w:rsid w:val="00665E46"/>
    <w:rsid w:val="00667440"/>
    <w:rsid w:val="00670AAA"/>
    <w:rsid w:val="00671342"/>
    <w:rsid w:val="00671939"/>
    <w:rsid w:val="00673876"/>
    <w:rsid w:val="00674AD6"/>
    <w:rsid w:val="00680326"/>
    <w:rsid w:val="00680356"/>
    <w:rsid w:val="00681175"/>
    <w:rsid w:val="0068192F"/>
    <w:rsid w:val="00681B97"/>
    <w:rsid w:val="00686840"/>
    <w:rsid w:val="00690E26"/>
    <w:rsid w:val="0069299B"/>
    <w:rsid w:val="00693090"/>
    <w:rsid w:val="00693CD7"/>
    <w:rsid w:val="00695E1C"/>
    <w:rsid w:val="0069738D"/>
    <w:rsid w:val="006A1306"/>
    <w:rsid w:val="006A4618"/>
    <w:rsid w:val="006A4953"/>
    <w:rsid w:val="006A5D9D"/>
    <w:rsid w:val="006A6429"/>
    <w:rsid w:val="006A7746"/>
    <w:rsid w:val="006B05EB"/>
    <w:rsid w:val="006B08EF"/>
    <w:rsid w:val="006B0A87"/>
    <w:rsid w:val="006B1EDB"/>
    <w:rsid w:val="006B4ABC"/>
    <w:rsid w:val="006B5915"/>
    <w:rsid w:val="006C31FD"/>
    <w:rsid w:val="006C3C3F"/>
    <w:rsid w:val="006C3DD0"/>
    <w:rsid w:val="006C3E6C"/>
    <w:rsid w:val="006C718C"/>
    <w:rsid w:val="006C73D1"/>
    <w:rsid w:val="006C7E32"/>
    <w:rsid w:val="006D02A2"/>
    <w:rsid w:val="006D074D"/>
    <w:rsid w:val="006D0C07"/>
    <w:rsid w:val="006D3B3E"/>
    <w:rsid w:val="006D4060"/>
    <w:rsid w:val="006D5FD9"/>
    <w:rsid w:val="006D7441"/>
    <w:rsid w:val="006D7860"/>
    <w:rsid w:val="006E302D"/>
    <w:rsid w:val="006E3899"/>
    <w:rsid w:val="006E4993"/>
    <w:rsid w:val="006E53DC"/>
    <w:rsid w:val="006E6B88"/>
    <w:rsid w:val="006E780A"/>
    <w:rsid w:val="006E7F62"/>
    <w:rsid w:val="006F1DFA"/>
    <w:rsid w:val="006F24EE"/>
    <w:rsid w:val="006F2BC4"/>
    <w:rsid w:val="006F41C5"/>
    <w:rsid w:val="006F57CA"/>
    <w:rsid w:val="006F7C3C"/>
    <w:rsid w:val="00700DC8"/>
    <w:rsid w:val="00704367"/>
    <w:rsid w:val="007058F1"/>
    <w:rsid w:val="007061A1"/>
    <w:rsid w:val="007072FF"/>
    <w:rsid w:val="00710C5F"/>
    <w:rsid w:val="007112D8"/>
    <w:rsid w:val="0071372D"/>
    <w:rsid w:val="00713E53"/>
    <w:rsid w:val="007163EF"/>
    <w:rsid w:val="00716BDA"/>
    <w:rsid w:val="007175B4"/>
    <w:rsid w:val="00720B98"/>
    <w:rsid w:val="007231B6"/>
    <w:rsid w:val="00724DD4"/>
    <w:rsid w:val="00724E45"/>
    <w:rsid w:val="00726F22"/>
    <w:rsid w:val="00727038"/>
    <w:rsid w:val="00727236"/>
    <w:rsid w:val="00735B1C"/>
    <w:rsid w:val="00736AA7"/>
    <w:rsid w:val="00736D10"/>
    <w:rsid w:val="00736E07"/>
    <w:rsid w:val="00742206"/>
    <w:rsid w:val="007451DA"/>
    <w:rsid w:val="007474A5"/>
    <w:rsid w:val="007479A6"/>
    <w:rsid w:val="00751C2B"/>
    <w:rsid w:val="00752120"/>
    <w:rsid w:val="00752394"/>
    <w:rsid w:val="00752665"/>
    <w:rsid w:val="00753736"/>
    <w:rsid w:val="00753874"/>
    <w:rsid w:val="007577EC"/>
    <w:rsid w:val="00757C61"/>
    <w:rsid w:val="00761C98"/>
    <w:rsid w:val="00762CF4"/>
    <w:rsid w:val="00762E5D"/>
    <w:rsid w:val="007643BD"/>
    <w:rsid w:val="0076778D"/>
    <w:rsid w:val="00772B1E"/>
    <w:rsid w:val="0077598C"/>
    <w:rsid w:val="0077710D"/>
    <w:rsid w:val="00780690"/>
    <w:rsid w:val="00780C6F"/>
    <w:rsid w:val="007830D8"/>
    <w:rsid w:val="00784CBB"/>
    <w:rsid w:val="007942DF"/>
    <w:rsid w:val="0079441E"/>
    <w:rsid w:val="00794C5D"/>
    <w:rsid w:val="007964BC"/>
    <w:rsid w:val="0079743C"/>
    <w:rsid w:val="007A0C1A"/>
    <w:rsid w:val="007A2878"/>
    <w:rsid w:val="007A4EC2"/>
    <w:rsid w:val="007A7CFF"/>
    <w:rsid w:val="007B49CB"/>
    <w:rsid w:val="007B6C89"/>
    <w:rsid w:val="007B7BED"/>
    <w:rsid w:val="007C08A0"/>
    <w:rsid w:val="007C0A1E"/>
    <w:rsid w:val="007C10F4"/>
    <w:rsid w:val="007C65E6"/>
    <w:rsid w:val="007C7E77"/>
    <w:rsid w:val="007D0004"/>
    <w:rsid w:val="007D2619"/>
    <w:rsid w:val="007D2BFD"/>
    <w:rsid w:val="007D3837"/>
    <w:rsid w:val="007D6A6F"/>
    <w:rsid w:val="007D6FF4"/>
    <w:rsid w:val="007E0A66"/>
    <w:rsid w:val="007E0D11"/>
    <w:rsid w:val="007E0D28"/>
    <w:rsid w:val="007E1317"/>
    <w:rsid w:val="007E1EB5"/>
    <w:rsid w:val="007E1F3F"/>
    <w:rsid w:val="007E1F52"/>
    <w:rsid w:val="007E22EB"/>
    <w:rsid w:val="007E2E8E"/>
    <w:rsid w:val="007E3190"/>
    <w:rsid w:val="007E3656"/>
    <w:rsid w:val="007E5AC2"/>
    <w:rsid w:val="007E6F61"/>
    <w:rsid w:val="007F10EA"/>
    <w:rsid w:val="007F2D66"/>
    <w:rsid w:val="007F604F"/>
    <w:rsid w:val="007F6B1C"/>
    <w:rsid w:val="007F77ED"/>
    <w:rsid w:val="007F79E1"/>
    <w:rsid w:val="007F7D02"/>
    <w:rsid w:val="00800469"/>
    <w:rsid w:val="00801E1C"/>
    <w:rsid w:val="008026BF"/>
    <w:rsid w:val="00803AB9"/>
    <w:rsid w:val="00805F62"/>
    <w:rsid w:val="0081183E"/>
    <w:rsid w:val="0081229E"/>
    <w:rsid w:val="008201D0"/>
    <w:rsid w:val="00820AB5"/>
    <w:rsid w:val="00821C03"/>
    <w:rsid w:val="0082431A"/>
    <w:rsid w:val="00826CB3"/>
    <w:rsid w:val="00826F1A"/>
    <w:rsid w:val="0082723C"/>
    <w:rsid w:val="00831547"/>
    <w:rsid w:val="00831A16"/>
    <w:rsid w:val="008337CE"/>
    <w:rsid w:val="00833905"/>
    <w:rsid w:val="008341F9"/>
    <w:rsid w:val="00834467"/>
    <w:rsid w:val="00835CEF"/>
    <w:rsid w:val="00836F27"/>
    <w:rsid w:val="00840F54"/>
    <w:rsid w:val="00841D77"/>
    <w:rsid w:val="008425F0"/>
    <w:rsid w:val="008436DB"/>
    <w:rsid w:val="00843F89"/>
    <w:rsid w:val="00844544"/>
    <w:rsid w:val="008447C0"/>
    <w:rsid w:val="00845BB1"/>
    <w:rsid w:val="00846AF5"/>
    <w:rsid w:val="00852188"/>
    <w:rsid w:val="00854419"/>
    <w:rsid w:val="008545BD"/>
    <w:rsid w:val="008546E8"/>
    <w:rsid w:val="00854DE6"/>
    <w:rsid w:val="008556EB"/>
    <w:rsid w:val="0085650E"/>
    <w:rsid w:val="008567BF"/>
    <w:rsid w:val="00857ED9"/>
    <w:rsid w:val="0086293F"/>
    <w:rsid w:val="00862CBC"/>
    <w:rsid w:val="0086495E"/>
    <w:rsid w:val="00864AE8"/>
    <w:rsid w:val="00865644"/>
    <w:rsid w:val="00866B07"/>
    <w:rsid w:val="00867113"/>
    <w:rsid w:val="008724E4"/>
    <w:rsid w:val="008727FA"/>
    <w:rsid w:val="00874691"/>
    <w:rsid w:val="00877219"/>
    <w:rsid w:val="00877718"/>
    <w:rsid w:val="00881243"/>
    <w:rsid w:val="008813F7"/>
    <w:rsid w:val="00881676"/>
    <w:rsid w:val="0088255E"/>
    <w:rsid w:val="00883272"/>
    <w:rsid w:val="008833F5"/>
    <w:rsid w:val="00883F16"/>
    <w:rsid w:val="008845E1"/>
    <w:rsid w:val="008851AC"/>
    <w:rsid w:val="008857CD"/>
    <w:rsid w:val="0088728B"/>
    <w:rsid w:val="00887471"/>
    <w:rsid w:val="008909E8"/>
    <w:rsid w:val="008911C4"/>
    <w:rsid w:val="0089166C"/>
    <w:rsid w:val="008928B6"/>
    <w:rsid w:val="0089558A"/>
    <w:rsid w:val="008959C5"/>
    <w:rsid w:val="008A1C56"/>
    <w:rsid w:val="008A2C10"/>
    <w:rsid w:val="008A3BC4"/>
    <w:rsid w:val="008A7102"/>
    <w:rsid w:val="008A712E"/>
    <w:rsid w:val="008B0F13"/>
    <w:rsid w:val="008B12BA"/>
    <w:rsid w:val="008B163B"/>
    <w:rsid w:val="008B1669"/>
    <w:rsid w:val="008B2A74"/>
    <w:rsid w:val="008B4D7D"/>
    <w:rsid w:val="008C07C7"/>
    <w:rsid w:val="008C1D7F"/>
    <w:rsid w:val="008C2AF6"/>
    <w:rsid w:val="008C4295"/>
    <w:rsid w:val="008C4C7D"/>
    <w:rsid w:val="008C4DC0"/>
    <w:rsid w:val="008C5B37"/>
    <w:rsid w:val="008C5E3F"/>
    <w:rsid w:val="008D0337"/>
    <w:rsid w:val="008D0587"/>
    <w:rsid w:val="008D0F86"/>
    <w:rsid w:val="008D1594"/>
    <w:rsid w:val="008D3CEB"/>
    <w:rsid w:val="008D73B2"/>
    <w:rsid w:val="008E0CD8"/>
    <w:rsid w:val="008E6132"/>
    <w:rsid w:val="008F01CD"/>
    <w:rsid w:val="008F16B4"/>
    <w:rsid w:val="008F1CBA"/>
    <w:rsid w:val="008F2073"/>
    <w:rsid w:val="008F5B34"/>
    <w:rsid w:val="008F7086"/>
    <w:rsid w:val="00901246"/>
    <w:rsid w:val="0090370D"/>
    <w:rsid w:val="00904605"/>
    <w:rsid w:val="00904B48"/>
    <w:rsid w:val="009051B6"/>
    <w:rsid w:val="009059DD"/>
    <w:rsid w:val="00906FD0"/>
    <w:rsid w:val="0090738D"/>
    <w:rsid w:val="00914527"/>
    <w:rsid w:val="00920B62"/>
    <w:rsid w:val="009223C0"/>
    <w:rsid w:val="009254F6"/>
    <w:rsid w:val="00925C42"/>
    <w:rsid w:val="00927D17"/>
    <w:rsid w:val="00931D3B"/>
    <w:rsid w:val="0093276E"/>
    <w:rsid w:val="0093693E"/>
    <w:rsid w:val="00941C3E"/>
    <w:rsid w:val="00947C12"/>
    <w:rsid w:val="0095025C"/>
    <w:rsid w:val="00950538"/>
    <w:rsid w:val="009508C3"/>
    <w:rsid w:val="009509FD"/>
    <w:rsid w:val="00952476"/>
    <w:rsid w:val="00953D86"/>
    <w:rsid w:val="00954989"/>
    <w:rsid w:val="00955251"/>
    <w:rsid w:val="00960428"/>
    <w:rsid w:val="00963E42"/>
    <w:rsid w:val="00964A6A"/>
    <w:rsid w:val="00966E7F"/>
    <w:rsid w:val="00967595"/>
    <w:rsid w:val="00970785"/>
    <w:rsid w:val="00970AB5"/>
    <w:rsid w:val="00970DFD"/>
    <w:rsid w:val="00971205"/>
    <w:rsid w:val="00972B5F"/>
    <w:rsid w:val="00973C90"/>
    <w:rsid w:val="00974496"/>
    <w:rsid w:val="00975232"/>
    <w:rsid w:val="00980582"/>
    <w:rsid w:val="00981F78"/>
    <w:rsid w:val="00982A96"/>
    <w:rsid w:val="00983C08"/>
    <w:rsid w:val="00985505"/>
    <w:rsid w:val="00986947"/>
    <w:rsid w:val="00990169"/>
    <w:rsid w:val="009901BF"/>
    <w:rsid w:val="00995D39"/>
    <w:rsid w:val="00995F87"/>
    <w:rsid w:val="00996127"/>
    <w:rsid w:val="009A0108"/>
    <w:rsid w:val="009A01C4"/>
    <w:rsid w:val="009A780E"/>
    <w:rsid w:val="009B0DC2"/>
    <w:rsid w:val="009B3EAF"/>
    <w:rsid w:val="009B7CA8"/>
    <w:rsid w:val="009B7E66"/>
    <w:rsid w:val="009C21C3"/>
    <w:rsid w:val="009C2A7F"/>
    <w:rsid w:val="009C3546"/>
    <w:rsid w:val="009C4AEF"/>
    <w:rsid w:val="009C4DFB"/>
    <w:rsid w:val="009C6258"/>
    <w:rsid w:val="009C735D"/>
    <w:rsid w:val="009D31FF"/>
    <w:rsid w:val="009D6D29"/>
    <w:rsid w:val="009D7EE8"/>
    <w:rsid w:val="009E1678"/>
    <w:rsid w:val="009E191D"/>
    <w:rsid w:val="009E1AB0"/>
    <w:rsid w:val="009E21A7"/>
    <w:rsid w:val="009E278A"/>
    <w:rsid w:val="009E5D16"/>
    <w:rsid w:val="009E679D"/>
    <w:rsid w:val="009F0ADD"/>
    <w:rsid w:val="009F35BA"/>
    <w:rsid w:val="009F3AC0"/>
    <w:rsid w:val="009F556C"/>
    <w:rsid w:val="009F57B0"/>
    <w:rsid w:val="009F5E98"/>
    <w:rsid w:val="009F618D"/>
    <w:rsid w:val="009F6714"/>
    <w:rsid w:val="009F7EC4"/>
    <w:rsid w:val="00A01E2A"/>
    <w:rsid w:val="00A03818"/>
    <w:rsid w:val="00A04772"/>
    <w:rsid w:val="00A055FC"/>
    <w:rsid w:val="00A07D71"/>
    <w:rsid w:val="00A124FA"/>
    <w:rsid w:val="00A14474"/>
    <w:rsid w:val="00A205B1"/>
    <w:rsid w:val="00A20678"/>
    <w:rsid w:val="00A213F6"/>
    <w:rsid w:val="00A23481"/>
    <w:rsid w:val="00A24E28"/>
    <w:rsid w:val="00A27114"/>
    <w:rsid w:val="00A27221"/>
    <w:rsid w:val="00A30AA2"/>
    <w:rsid w:val="00A31125"/>
    <w:rsid w:val="00A329E8"/>
    <w:rsid w:val="00A34CB2"/>
    <w:rsid w:val="00A35740"/>
    <w:rsid w:val="00A35FBA"/>
    <w:rsid w:val="00A36E60"/>
    <w:rsid w:val="00A428E3"/>
    <w:rsid w:val="00A43712"/>
    <w:rsid w:val="00A44E8E"/>
    <w:rsid w:val="00A4639F"/>
    <w:rsid w:val="00A503C0"/>
    <w:rsid w:val="00A52A56"/>
    <w:rsid w:val="00A52EDF"/>
    <w:rsid w:val="00A60340"/>
    <w:rsid w:val="00A64D44"/>
    <w:rsid w:val="00A65EF9"/>
    <w:rsid w:val="00A70B55"/>
    <w:rsid w:val="00A7166F"/>
    <w:rsid w:val="00A71B67"/>
    <w:rsid w:val="00A71B7F"/>
    <w:rsid w:val="00A71C6F"/>
    <w:rsid w:val="00A73327"/>
    <w:rsid w:val="00A73F73"/>
    <w:rsid w:val="00A74DEA"/>
    <w:rsid w:val="00A755F7"/>
    <w:rsid w:val="00A75A20"/>
    <w:rsid w:val="00A7692B"/>
    <w:rsid w:val="00A76B5A"/>
    <w:rsid w:val="00A77410"/>
    <w:rsid w:val="00A8089D"/>
    <w:rsid w:val="00A80915"/>
    <w:rsid w:val="00A80B52"/>
    <w:rsid w:val="00A82E54"/>
    <w:rsid w:val="00A83EED"/>
    <w:rsid w:val="00A8445F"/>
    <w:rsid w:val="00A8530F"/>
    <w:rsid w:val="00A85D0F"/>
    <w:rsid w:val="00A9124B"/>
    <w:rsid w:val="00A914B0"/>
    <w:rsid w:val="00A93008"/>
    <w:rsid w:val="00A9314A"/>
    <w:rsid w:val="00A94DDD"/>
    <w:rsid w:val="00A94ECB"/>
    <w:rsid w:val="00A977E8"/>
    <w:rsid w:val="00AA0ECE"/>
    <w:rsid w:val="00AA0F35"/>
    <w:rsid w:val="00AA22A4"/>
    <w:rsid w:val="00AA6B82"/>
    <w:rsid w:val="00AB02EF"/>
    <w:rsid w:val="00AB0300"/>
    <w:rsid w:val="00AB2350"/>
    <w:rsid w:val="00AB2619"/>
    <w:rsid w:val="00AB3C3B"/>
    <w:rsid w:val="00AB611E"/>
    <w:rsid w:val="00AB63AA"/>
    <w:rsid w:val="00AC05A8"/>
    <w:rsid w:val="00AC312F"/>
    <w:rsid w:val="00AC40B7"/>
    <w:rsid w:val="00AC573F"/>
    <w:rsid w:val="00AD006B"/>
    <w:rsid w:val="00AD070A"/>
    <w:rsid w:val="00AD16B3"/>
    <w:rsid w:val="00AD6CE0"/>
    <w:rsid w:val="00AD72D1"/>
    <w:rsid w:val="00AD7CDE"/>
    <w:rsid w:val="00AE0D04"/>
    <w:rsid w:val="00AE2709"/>
    <w:rsid w:val="00AE2DF3"/>
    <w:rsid w:val="00AE3633"/>
    <w:rsid w:val="00AE42B8"/>
    <w:rsid w:val="00AE59E4"/>
    <w:rsid w:val="00AF0E55"/>
    <w:rsid w:val="00AF1BFD"/>
    <w:rsid w:val="00AF55A3"/>
    <w:rsid w:val="00AF6113"/>
    <w:rsid w:val="00AF65BE"/>
    <w:rsid w:val="00AF69C1"/>
    <w:rsid w:val="00AF7D68"/>
    <w:rsid w:val="00B04F15"/>
    <w:rsid w:val="00B055ED"/>
    <w:rsid w:val="00B06238"/>
    <w:rsid w:val="00B0649A"/>
    <w:rsid w:val="00B0691B"/>
    <w:rsid w:val="00B10FFB"/>
    <w:rsid w:val="00B12DBF"/>
    <w:rsid w:val="00B14D9E"/>
    <w:rsid w:val="00B167CD"/>
    <w:rsid w:val="00B16BA5"/>
    <w:rsid w:val="00B32AD8"/>
    <w:rsid w:val="00B32F42"/>
    <w:rsid w:val="00B3456D"/>
    <w:rsid w:val="00B35851"/>
    <w:rsid w:val="00B37EBC"/>
    <w:rsid w:val="00B437B3"/>
    <w:rsid w:val="00B447B7"/>
    <w:rsid w:val="00B474E9"/>
    <w:rsid w:val="00B47725"/>
    <w:rsid w:val="00B5006C"/>
    <w:rsid w:val="00B5189D"/>
    <w:rsid w:val="00B5311D"/>
    <w:rsid w:val="00B55946"/>
    <w:rsid w:val="00B560C8"/>
    <w:rsid w:val="00B56183"/>
    <w:rsid w:val="00B57CD9"/>
    <w:rsid w:val="00B630C5"/>
    <w:rsid w:val="00B64A24"/>
    <w:rsid w:val="00B668D1"/>
    <w:rsid w:val="00B71115"/>
    <w:rsid w:val="00B7118E"/>
    <w:rsid w:val="00B71DA8"/>
    <w:rsid w:val="00B730C2"/>
    <w:rsid w:val="00B74261"/>
    <w:rsid w:val="00B76282"/>
    <w:rsid w:val="00B77CCD"/>
    <w:rsid w:val="00B80D49"/>
    <w:rsid w:val="00B834DD"/>
    <w:rsid w:val="00B83AB9"/>
    <w:rsid w:val="00B8444B"/>
    <w:rsid w:val="00B84A8A"/>
    <w:rsid w:val="00B8645A"/>
    <w:rsid w:val="00B871EB"/>
    <w:rsid w:val="00B90FC5"/>
    <w:rsid w:val="00B912FD"/>
    <w:rsid w:val="00B914B5"/>
    <w:rsid w:val="00B92636"/>
    <w:rsid w:val="00B937FF"/>
    <w:rsid w:val="00B951A6"/>
    <w:rsid w:val="00B95C5A"/>
    <w:rsid w:val="00BA2A8F"/>
    <w:rsid w:val="00BA3EFD"/>
    <w:rsid w:val="00BA5312"/>
    <w:rsid w:val="00BA6FAE"/>
    <w:rsid w:val="00BA6FC3"/>
    <w:rsid w:val="00BA7307"/>
    <w:rsid w:val="00BB0D24"/>
    <w:rsid w:val="00BB22CE"/>
    <w:rsid w:val="00BB2ABB"/>
    <w:rsid w:val="00BC587A"/>
    <w:rsid w:val="00BC798D"/>
    <w:rsid w:val="00BD0C21"/>
    <w:rsid w:val="00BD0ED0"/>
    <w:rsid w:val="00BD1945"/>
    <w:rsid w:val="00BD1A5B"/>
    <w:rsid w:val="00BD2163"/>
    <w:rsid w:val="00BD43B9"/>
    <w:rsid w:val="00BD59D1"/>
    <w:rsid w:val="00BE0227"/>
    <w:rsid w:val="00BE2C12"/>
    <w:rsid w:val="00BE3CC2"/>
    <w:rsid w:val="00BE525D"/>
    <w:rsid w:val="00BE5C52"/>
    <w:rsid w:val="00BE6915"/>
    <w:rsid w:val="00BE74E6"/>
    <w:rsid w:val="00BF223D"/>
    <w:rsid w:val="00BF6513"/>
    <w:rsid w:val="00BF76DA"/>
    <w:rsid w:val="00BF76DD"/>
    <w:rsid w:val="00BF7C3C"/>
    <w:rsid w:val="00C002BD"/>
    <w:rsid w:val="00C015F6"/>
    <w:rsid w:val="00C02005"/>
    <w:rsid w:val="00C02DA6"/>
    <w:rsid w:val="00C03437"/>
    <w:rsid w:val="00C03FE3"/>
    <w:rsid w:val="00C07249"/>
    <w:rsid w:val="00C10399"/>
    <w:rsid w:val="00C10D32"/>
    <w:rsid w:val="00C11417"/>
    <w:rsid w:val="00C1270B"/>
    <w:rsid w:val="00C12FE4"/>
    <w:rsid w:val="00C20C4A"/>
    <w:rsid w:val="00C215BB"/>
    <w:rsid w:val="00C25006"/>
    <w:rsid w:val="00C270EA"/>
    <w:rsid w:val="00C2713C"/>
    <w:rsid w:val="00C27B30"/>
    <w:rsid w:val="00C27E01"/>
    <w:rsid w:val="00C30D38"/>
    <w:rsid w:val="00C30E22"/>
    <w:rsid w:val="00C31456"/>
    <w:rsid w:val="00C32B54"/>
    <w:rsid w:val="00C33BB4"/>
    <w:rsid w:val="00C347DA"/>
    <w:rsid w:val="00C35E16"/>
    <w:rsid w:val="00C36F1D"/>
    <w:rsid w:val="00C37AB2"/>
    <w:rsid w:val="00C37EAC"/>
    <w:rsid w:val="00C404D0"/>
    <w:rsid w:val="00C42166"/>
    <w:rsid w:val="00C428C4"/>
    <w:rsid w:val="00C43605"/>
    <w:rsid w:val="00C443FC"/>
    <w:rsid w:val="00C44417"/>
    <w:rsid w:val="00C4533E"/>
    <w:rsid w:val="00C45A27"/>
    <w:rsid w:val="00C465A5"/>
    <w:rsid w:val="00C469D2"/>
    <w:rsid w:val="00C5004F"/>
    <w:rsid w:val="00C5019F"/>
    <w:rsid w:val="00C51931"/>
    <w:rsid w:val="00C52227"/>
    <w:rsid w:val="00C53233"/>
    <w:rsid w:val="00C544F3"/>
    <w:rsid w:val="00C56CFC"/>
    <w:rsid w:val="00C602F5"/>
    <w:rsid w:val="00C61DF7"/>
    <w:rsid w:val="00C6311F"/>
    <w:rsid w:val="00C63A80"/>
    <w:rsid w:val="00C66539"/>
    <w:rsid w:val="00C743F3"/>
    <w:rsid w:val="00C75153"/>
    <w:rsid w:val="00C75C0E"/>
    <w:rsid w:val="00C7647F"/>
    <w:rsid w:val="00C77394"/>
    <w:rsid w:val="00C77FFA"/>
    <w:rsid w:val="00C81F24"/>
    <w:rsid w:val="00C8227C"/>
    <w:rsid w:val="00C82311"/>
    <w:rsid w:val="00C82405"/>
    <w:rsid w:val="00C82BA0"/>
    <w:rsid w:val="00C83ACC"/>
    <w:rsid w:val="00C84A55"/>
    <w:rsid w:val="00C858D2"/>
    <w:rsid w:val="00C869D8"/>
    <w:rsid w:val="00C879B8"/>
    <w:rsid w:val="00C91EC5"/>
    <w:rsid w:val="00C94B4B"/>
    <w:rsid w:val="00CA1354"/>
    <w:rsid w:val="00CA1B82"/>
    <w:rsid w:val="00CA37A3"/>
    <w:rsid w:val="00CA47D7"/>
    <w:rsid w:val="00CA580D"/>
    <w:rsid w:val="00CA66A8"/>
    <w:rsid w:val="00CA6985"/>
    <w:rsid w:val="00CB0009"/>
    <w:rsid w:val="00CB089A"/>
    <w:rsid w:val="00CB098A"/>
    <w:rsid w:val="00CB0E4D"/>
    <w:rsid w:val="00CB18F3"/>
    <w:rsid w:val="00CB25FE"/>
    <w:rsid w:val="00CB3E7D"/>
    <w:rsid w:val="00CB5938"/>
    <w:rsid w:val="00CC0D9D"/>
    <w:rsid w:val="00CC1FC4"/>
    <w:rsid w:val="00CC4616"/>
    <w:rsid w:val="00CC729C"/>
    <w:rsid w:val="00CD234B"/>
    <w:rsid w:val="00CD5079"/>
    <w:rsid w:val="00CD6EAB"/>
    <w:rsid w:val="00CE36C1"/>
    <w:rsid w:val="00CE4F15"/>
    <w:rsid w:val="00CE7DA3"/>
    <w:rsid w:val="00CF0284"/>
    <w:rsid w:val="00CF1E3C"/>
    <w:rsid w:val="00CF2760"/>
    <w:rsid w:val="00CF3515"/>
    <w:rsid w:val="00CF3959"/>
    <w:rsid w:val="00CF4394"/>
    <w:rsid w:val="00CF6D83"/>
    <w:rsid w:val="00CF7039"/>
    <w:rsid w:val="00D00E53"/>
    <w:rsid w:val="00D01DEB"/>
    <w:rsid w:val="00D06F55"/>
    <w:rsid w:val="00D11C66"/>
    <w:rsid w:val="00D15ADE"/>
    <w:rsid w:val="00D22027"/>
    <w:rsid w:val="00D2252A"/>
    <w:rsid w:val="00D25891"/>
    <w:rsid w:val="00D265AE"/>
    <w:rsid w:val="00D324E6"/>
    <w:rsid w:val="00D339D0"/>
    <w:rsid w:val="00D34627"/>
    <w:rsid w:val="00D353EB"/>
    <w:rsid w:val="00D355AA"/>
    <w:rsid w:val="00D40734"/>
    <w:rsid w:val="00D40F44"/>
    <w:rsid w:val="00D417D8"/>
    <w:rsid w:val="00D42CF7"/>
    <w:rsid w:val="00D4357D"/>
    <w:rsid w:val="00D435AD"/>
    <w:rsid w:val="00D443A7"/>
    <w:rsid w:val="00D448C3"/>
    <w:rsid w:val="00D46248"/>
    <w:rsid w:val="00D50ABD"/>
    <w:rsid w:val="00D512AC"/>
    <w:rsid w:val="00D51630"/>
    <w:rsid w:val="00D51672"/>
    <w:rsid w:val="00D51C7D"/>
    <w:rsid w:val="00D52419"/>
    <w:rsid w:val="00D52E7D"/>
    <w:rsid w:val="00D56145"/>
    <w:rsid w:val="00D57804"/>
    <w:rsid w:val="00D57DC1"/>
    <w:rsid w:val="00D600B6"/>
    <w:rsid w:val="00D61463"/>
    <w:rsid w:val="00D65397"/>
    <w:rsid w:val="00D71167"/>
    <w:rsid w:val="00D71426"/>
    <w:rsid w:val="00D71F9B"/>
    <w:rsid w:val="00D7301E"/>
    <w:rsid w:val="00D73F5C"/>
    <w:rsid w:val="00D744E8"/>
    <w:rsid w:val="00D77169"/>
    <w:rsid w:val="00D77EB5"/>
    <w:rsid w:val="00D80D06"/>
    <w:rsid w:val="00D83008"/>
    <w:rsid w:val="00D83E67"/>
    <w:rsid w:val="00D84D43"/>
    <w:rsid w:val="00D8628E"/>
    <w:rsid w:val="00D862E3"/>
    <w:rsid w:val="00D86A35"/>
    <w:rsid w:val="00D8792A"/>
    <w:rsid w:val="00D91EF7"/>
    <w:rsid w:val="00D94C9A"/>
    <w:rsid w:val="00D95CE7"/>
    <w:rsid w:val="00D95DDF"/>
    <w:rsid w:val="00D975E7"/>
    <w:rsid w:val="00DA1017"/>
    <w:rsid w:val="00DA186E"/>
    <w:rsid w:val="00DB06CA"/>
    <w:rsid w:val="00DB084C"/>
    <w:rsid w:val="00DB2669"/>
    <w:rsid w:val="00DB34FA"/>
    <w:rsid w:val="00DB42E0"/>
    <w:rsid w:val="00DB60ED"/>
    <w:rsid w:val="00DC096C"/>
    <w:rsid w:val="00DC44E6"/>
    <w:rsid w:val="00DC54BD"/>
    <w:rsid w:val="00DC7559"/>
    <w:rsid w:val="00DC763A"/>
    <w:rsid w:val="00DD10A6"/>
    <w:rsid w:val="00DD2523"/>
    <w:rsid w:val="00DD34AA"/>
    <w:rsid w:val="00DD4D08"/>
    <w:rsid w:val="00DD4F83"/>
    <w:rsid w:val="00DD509B"/>
    <w:rsid w:val="00DE0DF2"/>
    <w:rsid w:val="00DE1463"/>
    <w:rsid w:val="00DE2FF7"/>
    <w:rsid w:val="00DE72DB"/>
    <w:rsid w:val="00DF0A8E"/>
    <w:rsid w:val="00DF2C10"/>
    <w:rsid w:val="00DF4DBF"/>
    <w:rsid w:val="00DF50EB"/>
    <w:rsid w:val="00DF5E8A"/>
    <w:rsid w:val="00DF66E5"/>
    <w:rsid w:val="00E00B33"/>
    <w:rsid w:val="00E01810"/>
    <w:rsid w:val="00E02241"/>
    <w:rsid w:val="00E03263"/>
    <w:rsid w:val="00E036F2"/>
    <w:rsid w:val="00E04C3C"/>
    <w:rsid w:val="00E050F0"/>
    <w:rsid w:val="00E07A2D"/>
    <w:rsid w:val="00E07F71"/>
    <w:rsid w:val="00E168BC"/>
    <w:rsid w:val="00E2236D"/>
    <w:rsid w:val="00E227DE"/>
    <w:rsid w:val="00E22A25"/>
    <w:rsid w:val="00E22EBE"/>
    <w:rsid w:val="00E247FF"/>
    <w:rsid w:val="00E25FCD"/>
    <w:rsid w:val="00E262B1"/>
    <w:rsid w:val="00E269AC"/>
    <w:rsid w:val="00E27336"/>
    <w:rsid w:val="00E319FE"/>
    <w:rsid w:val="00E33FA0"/>
    <w:rsid w:val="00E34364"/>
    <w:rsid w:val="00E34DE4"/>
    <w:rsid w:val="00E35F1C"/>
    <w:rsid w:val="00E36C48"/>
    <w:rsid w:val="00E40A55"/>
    <w:rsid w:val="00E41B2D"/>
    <w:rsid w:val="00E43253"/>
    <w:rsid w:val="00E45DF2"/>
    <w:rsid w:val="00E46647"/>
    <w:rsid w:val="00E52F47"/>
    <w:rsid w:val="00E547D7"/>
    <w:rsid w:val="00E55FDA"/>
    <w:rsid w:val="00E60039"/>
    <w:rsid w:val="00E600A0"/>
    <w:rsid w:val="00E6408A"/>
    <w:rsid w:val="00E648FC"/>
    <w:rsid w:val="00E67527"/>
    <w:rsid w:val="00E6775B"/>
    <w:rsid w:val="00E67B46"/>
    <w:rsid w:val="00E72229"/>
    <w:rsid w:val="00E72437"/>
    <w:rsid w:val="00E745CA"/>
    <w:rsid w:val="00E805E1"/>
    <w:rsid w:val="00E8097B"/>
    <w:rsid w:val="00E81253"/>
    <w:rsid w:val="00E82A45"/>
    <w:rsid w:val="00E82F63"/>
    <w:rsid w:val="00E9027D"/>
    <w:rsid w:val="00E90F1C"/>
    <w:rsid w:val="00E920FB"/>
    <w:rsid w:val="00E95C7D"/>
    <w:rsid w:val="00E97163"/>
    <w:rsid w:val="00EA1859"/>
    <w:rsid w:val="00EA1A3E"/>
    <w:rsid w:val="00EA4998"/>
    <w:rsid w:val="00EA5F49"/>
    <w:rsid w:val="00EA6778"/>
    <w:rsid w:val="00EA6E50"/>
    <w:rsid w:val="00EA78DE"/>
    <w:rsid w:val="00EB13E5"/>
    <w:rsid w:val="00EB1E91"/>
    <w:rsid w:val="00EB331E"/>
    <w:rsid w:val="00EB6E21"/>
    <w:rsid w:val="00EB71E4"/>
    <w:rsid w:val="00EB7A30"/>
    <w:rsid w:val="00EC0DBD"/>
    <w:rsid w:val="00EC156F"/>
    <w:rsid w:val="00EC640B"/>
    <w:rsid w:val="00ED0330"/>
    <w:rsid w:val="00ED04E3"/>
    <w:rsid w:val="00ED0EDC"/>
    <w:rsid w:val="00ED6D9C"/>
    <w:rsid w:val="00ED7049"/>
    <w:rsid w:val="00ED793F"/>
    <w:rsid w:val="00ED7F65"/>
    <w:rsid w:val="00EE0FCC"/>
    <w:rsid w:val="00EE10DE"/>
    <w:rsid w:val="00EE11EE"/>
    <w:rsid w:val="00EE3A01"/>
    <w:rsid w:val="00EE4069"/>
    <w:rsid w:val="00EF17AB"/>
    <w:rsid w:val="00EF1CAE"/>
    <w:rsid w:val="00EF25E3"/>
    <w:rsid w:val="00EF71F9"/>
    <w:rsid w:val="00F01D1A"/>
    <w:rsid w:val="00F02120"/>
    <w:rsid w:val="00F02424"/>
    <w:rsid w:val="00F0623A"/>
    <w:rsid w:val="00F1379D"/>
    <w:rsid w:val="00F152B2"/>
    <w:rsid w:val="00F16901"/>
    <w:rsid w:val="00F17407"/>
    <w:rsid w:val="00F1788D"/>
    <w:rsid w:val="00F20849"/>
    <w:rsid w:val="00F23FCC"/>
    <w:rsid w:val="00F2455A"/>
    <w:rsid w:val="00F24652"/>
    <w:rsid w:val="00F27AB9"/>
    <w:rsid w:val="00F27C0C"/>
    <w:rsid w:val="00F315DC"/>
    <w:rsid w:val="00F4315D"/>
    <w:rsid w:val="00F44086"/>
    <w:rsid w:val="00F45BE3"/>
    <w:rsid w:val="00F505C5"/>
    <w:rsid w:val="00F50879"/>
    <w:rsid w:val="00F50899"/>
    <w:rsid w:val="00F5138C"/>
    <w:rsid w:val="00F5310B"/>
    <w:rsid w:val="00F536F2"/>
    <w:rsid w:val="00F551EF"/>
    <w:rsid w:val="00F55C06"/>
    <w:rsid w:val="00F5608C"/>
    <w:rsid w:val="00F57447"/>
    <w:rsid w:val="00F62A57"/>
    <w:rsid w:val="00F6437D"/>
    <w:rsid w:val="00F65F03"/>
    <w:rsid w:val="00F66EB8"/>
    <w:rsid w:val="00F6704C"/>
    <w:rsid w:val="00F67CDB"/>
    <w:rsid w:val="00F7044A"/>
    <w:rsid w:val="00F73E16"/>
    <w:rsid w:val="00F74BD5"/>
    <w:rsid w:val="00F75ACD"/>
    <w:rsid w:val="00F7676C"/>
    <w:rsid w:val="00F770F6"/>
    <w:rsid w:val="00F82729"/>
    <w:rsid w:val="00F82A3F"/>
    <w:rsid w:val="00F8334B"/>
    <w:rsid w:val="00F874FD"/>
    <w:rsid w:val="00F8787B"/>
    <w:rsid w:val="00F8791A"/>
    <w:rsid w:val="00F87A76"/>
    <w:rsid w:val="00F91E06"/>
    <w:rsid w:val="00F9227C"/>
    <w:rsid w:val="00F94C77"/>
    <w:rsid w:val="00F959E4"/>
    <w:rsid w:val="00F96D81"/>
    <w:rsid w:val="00FA0769"/>
    <w:rsid w:val="00FA1149"/>
    <w:rsid w:val="00FA1A55"/>
    <w:rsid w:val="00FA563D"/>
    <w:rsid w:val="00FA76EE"/>
    <w:rsid w:val="00FB09D0"/>
    <w:rsid w:val="00FB0D29"/>
    <w:rsid w:val="00FB109B"/>
    <w:rsid w:val="00FB380B"/>
    <w:rsid w:val="00FB4539"/>
    <w:rsid w:val="00FB5BD2"/>
    <w:rsid w:val="00FB5C3D"/>
    <w:rsid w:val="00FB694E"/>
    <w:rsid w:val="00FB6A09"/>
    <w:rsid w:val="00FB78A0"/>
    <w:rsid w:val="00FC0703"/>
    <w:rsid w:val="00FC14DF"/>
    <w:rsid w:val="00FC4A3C"/>
    <w:rsid w:val="00FC6FEB"/>
    <w:rsid w:val="00FD2152"/>
    <w:rsid w:val="00FD47B1"/>
    <w:rsid w:val="00FD4C95"/>
    <w:rsid w:val="00FD5D5D"/>
    <w:rsid w:val="00FE1BE8"/>
    <w:rsid w:val="00FE29C0"/>
    <w:rsid w:val="00FE2B3F"/>
    <w:rsid w:val="00FE30FD"/>
    <w:rsid w:val="00FE4E81"/>
    <w:rsid w:val="00FF2994"/>
    <w:rsid w:val="00FF2A27"/>
    <w:rsid w:val="00FF2B50"/>
    <w:rsid w:val="00FF31BE"/>
    <w:rsid w:val="00FF6196"/>
    <w:rsid w:val="00FF75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8BC"/>
  </w:style>
  <w:style w:type="paragraph" w:styleId="Heading3">
    <w:name w:val="heading 3"/>
    <w:basedOn w:val="Normal"/>
    <w:next w:val="Normal"/>
    <w:link w:val="Heading3Char"/>
    <w:uiPriority w:val="9"/>
    <w:semiHidden/>
    <w:unhideWhenUsed/>
    <w:qFormat/>
    <w:rsid w:val="00B630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312"/>
    <w:pPr>
      <w:tabs>
        <w:tab w:val="center" w:pos="4680"/>
        <w:tab w:val="right" w:pos="9360"/>
      </w:tabs>
    </w:pPr>
  </w:style>
  <w:style w:type="character" w:customStyle="1" w:styleId="HeaderChar">
    <w:name w:val="Header Char"/>
    <w:basedOn w:val="DefaultParagraphFont"/>
    <w:link w:val="Header"/>
    <w:uiPriority w:val="99"/>
    <w:rsid w:val="00211312"/>
  </w:style>
  <w:style w:type="paragraph" w:styleId="Footer">
    <w:name w:val="footer"/>
    <w:basedOn w:val="Normal"/>
    <w:link w:val="FooterChar"/>
    <w:uiPriority w:val="99"/>
    <w:semiHidden/>
    <w:unhideWhenUsed/>
    <w:rsid w:val="00211312"/>
    <w:pPr>
      <w:tabs>
        <w:tab w:val="center" w:pos="4680"/>
        <w:tab w:val="right" w:pos="9360"/>
      </w:tabs>
    </w:pPr>
  </w:style>
  <w:style w:type="character" w:customStyle="1" w:styleId="FooterChar">
    <w:name w:val="Footer Char"/>
    <w:basedOn w:val="DefaultParagraphFont"/>
    <w:link w:val="Footer"/>
    <w:uiPriority w:val="99"/>
    <w:semiHidden/>
    <w:rsid w:val="00211312"/>
  </w:style>
  <w:style w:type="character" w:styleId="Hyperlink">
    <w:name w:val="Hyperlink"/>
    <w:basedOn w:val="DefaultParagraphFont"/>
    <w:uiPriority w:val="99"/>
    <w:unhideWhenUsed/>
    <w:rsid w:val="00C544F3"/>
    <w:rPr>
      <w:color w:val="0000FF" w:themeColor="hyperlink"/>
      <w:u w:val="single"/>
    </w:rPr>
  </w:style>
  <w:style w:type="paragraph" w:styleId="BalloonText">
    <w:name w:val="Balloon Text"/>
    <w:basedOn w:val="Normal"/>
    <w:link w:val="BalloonTextChar"/>
    <w:uiPriority w:val="99"/>
    <w:semiHidden/>
    <w:unhideWhenUsed/>
    <w:rsid w:val="00C544F3"/>
    <w:rPr>
      <w:rFonts w:ascii="Tahoma" w:hAnsi="Tahoma" w:cs="Tahoma"/>
      <w:sz w:val="16"/>
      <w:szCs w:val="16"/>
    </w:rPr>
  </w:style>
  <w:style w:type="character" w:customStyle="1" w:styleId="BalloonTextChar">
    <w:name w:val="Balloon Text Char"/>
    <w:basedOn w:val="DefaultParagraphFont"/>
    <w:link w:val="BalloonText"/>
    <w:uiPriority w:val="99"/>
    <w:semiHidden/>
    <w:rsid w:val="00C544F3"/>
    <w:rPr>
      <w:rFonts w:ascii="Tahoma" w:hAnsi="Tahoma" w:cs="Tahoma"/>
      <w:sz w:val="16"/>
      <w:szCs w:val="16"/>
    </w:rPr>
  </w:style>
  <w:style w:type="paragraph" w:styleId="EndnoteText">
    <w:name w:val="endnote text"/>
    <w:basedOn w:val="Normal"/>
    <w:link w:val="EndnoteTextChar"/>
    <w:uiPriority w:val="99"/>
    <w:semiHidden/>
    <w:unhideWhenUsed/>
    <w:rsid w:val="00B630C5"/>
    <w:rPr>
      <w:sz w:val="20"/>
      <w:szCs w:val="20"/>
    </w:rPr>
  </w:style>
  <w:style w:type="character" w:customStyle="1" w:styleId="EndnoteTextChar">
    <w:name w:val="Endnote Text Char"/>
    <w:basedOn w:val="DefaultParagraphFont"/>
    <w:link w:val="EndnoteText"/>
    <w:uiPriority w:val="99"/>
    <w:semiHidden/>
    <w:rsid w:val="00B630C5"/>
    <w:rPr>
      <w:sz w:val="20"/>
      <w:szCs w:val="20"/>
    </w:rPr>
  </w:style>
  <w:style w:type="character" w:styleId="EndnoteReference">
    <w:name w:val="endnote reference"/>
    <w:basedOn w:val="DefaultParagraphFont"/>
    <w:uiPriority w:val="99"/>
    <w:semiHidden/>
    <w:unhideWhenUsed/>
    <w:rsid w:val="00B630C5"/>
    <w:rPr>
      <w:vertAlign w:val="superscript"/>
    </w:rPr>
  </w:style>
  <w:style w:type="character" w:customStyle="1" w:styleId="Heading3Char">
    <w:name w:val="Heading 3 Char"/>
    <w:basedOn w:val="DefaultParagraphFont"/>
    <w:link w:val="Heading3"/>
    <w:uiPriority w:val="9"/>
    <w:semiHidden/>
    <w:rsid w:val="00B630C5"/>
    <w:rPr>
      <w:rFonts w:asciiTheme="majorHAnsi" w:eastAsiaTheme="majorEastAsia" w:hAnsiTheme="majorHAnsi" w:cstheme="majorBidi"/>
      <w:b/>
      <w:bCs/>
      <w:color w:val="4F81BD" w:themeColor="accent1"/>
    </w:rPr>
  </w:style>
  <w:style w:type="paragraph" w:styleId="FootnoteText">
    <w:name w:val="footnote text"/>
    <w:basedOn w:val="Normal"/>
    <w:link w:val="FootnoteTextChar"/>
    <w:semiHidden/>
    <w:rsid w:val="00321EBE"/>
    <w:pPr>
      <w:spacing w:after="240"/>
      <w:ind w:left="720"/>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semiHidden/>
    <w:rsid w:val="00321EBE"/>
    <w:rPr>
      <w:rFonts w:ascii="Times New Roman" w:eastAsia="Times New Roman" w:hAnsi="Times New Roman" w:cs="Times New Roman"/>
      <w:sz w:val="20"/>
      <w:szCs w:val="24"/>
    </w:rPr>
  </w:style>
  <w:style w:type="character" w:styleId="FootnoteReference">
    <w:name w:val="footnote reference"/>
    <w:basedOn w:val="DefaultParagraphFont"/>
    <w:semiHidden/>
    <w:rsid w:val="00321EBE"/>
    <w:rPr>
      <w:rFonts w:ascii="Times New Roman" w:hAnsi="Times New Roman"/>
      <w:sz w:val="22"/>
      <w:vertAlign w:val="superscript"/>
    </w:rPr>
  </w:style>
  <w:style w:type="character" w:styleId="FollowedHyperlink">
    <w:name w:val="FollowedHyperlink"/>
    <w:basedOn w:val="DefaultParagraphFont"/>
    <w:uiPriority w:val="99"/>
    <w:semiHidden/>
    <w:unhideWhenUsed/>
    <w:rsid w:val="002F423E"/>
    <w:rPr>
      <w:color w:val="800080" w:themeColor="followedHyperlink"/>
      <w:u w:val="single"/>
    </w:rPr>
  </w:style>
  <w:style w:type="paragraph" w:customStyle="1" w:styleId="RightPar4">
    <w:name w:val="Right Par 4"/>
    <w:rsid w:val="0002511F"/>
    <w:pPr>
      <w:tabs>
        <w:tab w:val="left" w:pos="-720"/>
        <w:tab w:val="left" w:pos="0"/>
        <w:tab w:val="left" w:pos="720"/>
        <w:tab w:val="left" w:pos="1440"/>
        <w:tab w:val="left" w:pos="2160"/>
        <w:tab w:val="decimal" w:pos="2880"/>
      </w:tabs>
      <w:suppressAutoHyphens/>
      <w:ind w:left="2880" w:hanging="432"/>
      <w:jc w:val="left"/>
    </w:pPr>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26834347">
      <w:bodyDiv w:val="1"/>
      <w:marLeft w:val="0"/>
      <w:marRight w:val="0"/>
      <w:marTop w:val="0"/>
      <w:marBottom w:val="0"/>
      <w:divBdr>
        <w:top w:val="none" w:sz="0" w:space="0" w:color="auto"/>
        <w:left w:val="none" w:sz="0" w:space="0" w:color="auto"/>
        <w:bottom w:val="none" w:sz="0" w:space="0" w:color="auto"/>
        <w:right w:val="none" w:sz="0" w:space="0" w:color="auto"/>
      </w:divBdr>
      <w:divsChild>
        <w:div w:id="1473064246">
          <w:marLeft w:val="0"/>
          <w:marRight w:val="0"/>
          <w:marTop w:val="0"/>
          <w:marBottom w:val="0"/>
          <w:divBdr>
            <w:top w:val="none" w:sz="0" w:space="0" w:color="auto"/>
            <w:left w:val="none" w:sz="0" w:space="0" w:color="auto"/>
            <w:bottom w:val="none" w:sz="0" w:space="0" w:color="auto"/>
            <w:right w:val="none" w:sz="0" w:space="0" w:color="auto"/>
          </w:divBdr>
          <w:divsChild>
            <w:div w:id="2135370951">
              <w:marLeft w:val="0"/>
              <w:marRight w:val="0"/>
              <w:marTop w:val="0"/>
              <w:marBottom w:val="0"/>
              <w:divBdr>
                <w:top w:val="none" w:sz="0" w:space="0" w:color="auto"/>
                <w:left w:val="none" w:sz="0" w:space="0" w:color="auto"/>
                <w:bottom w:val="none" w:sz="0" w:space="0" w:color="auto"/>
                <w:right w:val="none" w:sz="0" w:space="0" w:color="auto"/>
              </w:divBdr>
              <w:divsChild>
                <w:div w:id="9639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76665">
      <w:bodyDiv w:val="1"/>
      <w:marLeft w:val="0"/>
      <w:marRight w:val="0"/>
      <w:marTop w:val="0"/>
      <w:marBottom w:val="0"/>
      <w:divBdr>
        <w:top w:val="none" w:sz="0" w:space="0" w:color="auto"/>
        <w:left w:val="none" w:sz="0" w:space="0" w:color="auto"/>
        <w:bottom w:val="none" w:sz="0" w:space="0" w:color="auto"/>
        <w:right w:val="none" w:sz="0" w:space="0" w:color="auto"/>
      </w:divBdr>
    </w:div>
    <w:div w:id="107285713">
      <w:bodyDiv w:val="1"/>
      <w:marLeft w:val="0"/>
      <w:marRight w:val="0"/>
      <w:marTop w:val="0"/>
      <w:marBottom w:val="0"/>
      <w:divBdr>
        <w:top w:val="none" w:sz="0" w:space="0" w:color="auto"/>
        <w:left w:val="none" w:sz="0" w:space="0" w:color="auto"/>
        <w:bottom w:val="none" w:sz="0" w:space="0" w:color="auto"/>
        <w:right w:val="none" w:sz="0" w:space="0" w:color="auto"/>
      </w:divBdr>
    </w:div>
    <w:div w:id="235942930">
      <w:bodyDiv w:val="1"/>
      <w:marLeft w:val="0"/>
      <w:marRight w:val="0"/>
      <w:marTop w:val="0"/>
      <w:marBottom w:val="0"/>
      <w:divBdr>
        <w:top w:val="none" w:sz="0" w:space="0" w:color="auto"/>
        <w:left w:val="none" w:sz="0" w:space="0" w:color="auto"/>
        <w:bottom w:val="none" w:sz="0" w:space="0" w:color="auto"/>
        <w:right w:val="none" w:sz="0" w:space="0" w:color="auto"/>
      </w:divBdr>
      <w:divsChild>
        <w:div w:id="1823501840">
          <w:marLeft w:val="0"/>
          <w:marRight w:val="0"/>
          <w:marTop w:val="0"/>
          <w:marBottom w:val="0"/>
          <w:divBdr>
            <w:top w:val="none" w:sz="0" w:space="0" w:color="auto"/>
            <w:left w:val="none" w:sz="0" w:space="0" w:color="auto"/>
            <w:bottom w:val="none" w:sz="0" w:space="0" w:color="auto"/>
            <w:right w:val="none" w:sz="0" w:space="0" w:color="auto"/>
          </w:divBdr>
          <w:divsChild>
            <w:div w:id="1376008112">
              <w:marLeft w:val="0"/>
              <w:marRight w:val="0"/>
              <w:marTop w:val="0"/>
              <w:marBottom w:val="0"/>
              <w:divBdr>
                <w:top w:val="none" w:sz="0" w:space="0" w:color="auto"/>
                <w:left w:val="none" w:sz="0" w:space="0" w:color="auto"/>
                <w:bottom w:val="none" w:sz="0" w:space="0" w:color="auto"/>
                <w:right w:val="none" w:sz="0" w:space="0" w:color="auto"/>
              </w:divBdr>
              <w:divsChild>
                <w:div w:id="17767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52646">
      <w:bodyDiv w:val="1"/>
      <w:marLeft w:val="0"/>
      <w:marRight w:val="0"/>
      <w:marTop w:val="0"/>
      <w:marBottom w:val="0"/>
      <w:divBdr>
        <w:top w:val="none" w:sz="0" w:space="0" w:color="auto"/>
        <w:left w:val="none" w:sz="0" w:space="0" w:color="auto"/>
        <w:bottom w:val="none" w:sz="0" w:space="0" w:color="auto"/>
        <w:right w:val="none" w:sz="0" w:space="0" w:color="auto"/>
      </w:divBdr>
    </w:div>
    <w:div w:id="366179775">
      <w:bodyDiv w:val="1"/>
      <w:marLeft w:val="0"/>
      <w:marRight w:val="0"/>
      <w:marTop w:val="0"/>
      <w:marBottom w:val="0"/>
      <w:divBdr>
        <w:top w:val="none" w:sz="0" w:space="0" w:color="auto"/>
        <w:left w:val="none" w:sz="0" w:space="0" w:color="auto"/>
        <w:bottom w:val="none" w:sz="0" w:space="0" w:color="auto"/>
        <w:right w:val="none" w:sz="0" w:space="0" w:color="auto"/>
      </w:divBdr>
    </w:div>
    <w:div w:id="434373141">
      <w:bodyDiv w:val="1"/>
      <w:marLeft w:val="0"/>
      <w:marRight w:val="0"/>
      <w:marTop w:val="0"/>
      <w:marBottom w:val="0"/>
      <w:divBdr>
        <w:top w:val="none" w:sz="0" w:space="0" w:color="auto"/>
        <w:left w:val="none" w:sz="0" w:space="0" w:color="auto"/>
        <w:bottom w:val="none" w:sz="0" w:space="0" w:color="auto"/>
        <w:right w:val="none" w:sz="0" w:space="0" w:color="auto"/>
      </w:divBdr>
    </w:div>
    <w:div w:id="762839739">
      <w:bodyDiv w:val="1"/>
      <w:marLeft w:val="0"/>
      <w:marRight w:val="0"/>
      <w:marTop w:val="0"/>
      <w:marBottom w:val="0"/>
      <w:divBdr>
        <w:top w:val="none" w:sz="0" w:space="0" w:color="auto"/>
        <w:left w:val="none" w:sz="0" w:space="0" w:color="auto"/>
        <w:bottom w:val="none" w:sz="0" w:space="0" w:color="auto"/>
        <w:right w:val="none" w:sz="0" w:space="0" w:color="auto"/>
      </w:divBdr>
    </w:div>
    <w:div w:id="797796092">
      <w:bodyDiv w:val="1"/>
      <w:marLeft w:val="0"/>
      <w:marRight w:val="0"/>
      <w:marTop w:val="0"/>
      <w:marBottom w:val="0"/>
      <w:divBdr>
        <w:top w:val="none" w:sz="0" w:space="0" w:color="auto"/>
        <w:left w:val="none" w:sz="0" w:space="0" w:color="auto"/>
        <w:bottom w:val="none" w:sz="0" w:space="0" w:color="auto"/>
        <w:right w:val="none" w:sz="0" w:space="0" w:color="auto"/>
      </w:divBdr>
    </w:div>
    <w:div w:id="903956363">
      <w:bodyDiv w:val="1"/>
      <w:marLeft w:val="0"/>
      <w:marRight w:val="0"/>
      <w:marTop w:val="0"/>
      <w:marBottom w:val="0"/>
      <w:divBdr>
        <w:top w:val="none" w:sz="0" w:space="0" w:color="auto"/>
        <w:left w:val="none" w:sz="0" w:space="0" w:color="auto"/>
        <w:bottom w:val="none" w:sz="0" w:space="0" w:color="auto"/>
        <w:right w:val="none" w:sz="0" w:space="0" w:color="auto"/>
      </w:divBdr>
    </w:div>
    <w:div w:id="1030764816">
      <w:bodyDiv w:val="1"/>
      <w:marLeft w:val="0"/>
      <w:marRight w:val="0"/>
      <w:marTop w:val="0"/>
      <w:marBottom w:val="0"/>
      <w:divBdr>
        <w:top w:val="none" w:sz="0" w:space="0" w:color="auto"/>
        <w:left w:val="none" w:sz="0" w:space="0" w:color="auto"/>
        <w:bottom w:val="none" w:sz="0" w:space="0" w:color="auto"/>
        <w:right w:val="none" w:sz="0" w:space="0" w:color="auto"/>
      </w:divBdr>
    </w:div>
    <w:div w:id="1061565101">
      <w:bodyDiv w:val="1"/>
      <w:marLeft w:val="0"/>
      <w:marRight w:val="0"/>
      <w:marTop w:val="0"/>
      <w:marBottom w:val="0"/>
      <w:divBdr>
        <w:top w:val="none" w:sz="0" w:space="0" w:color="auto"/>
        <w:left w:val="none" w:sz="0" w:space="0" w:color="auto"/>
        <w:bottom w:val="none" w:sz="0" w:space="0" w:color="auto"/>
        <w:right w:val="none" w:sz="0" w:space="0" w:color="auto"/>
      </w:divBdr>
    </w:div>
    <w:div w:id="1070226460">
      <w:bodyDiv w:val="1"/>
      <w:marLeft w:val="0"/>
      <w:marRight w:val="0"/>
      <w:marTop w:val="0"/>
      <w:marBottom w:val="0"/>
      <w:divBdr>
        <w:top w:val="none" w:sz="0" w:space="0" w:color="auto"/>
        <w:left w:val="none" w:sz="0" w:space="0" w:color="auto"/>
        <w:bottom w:val="none" w:sz="0" w:space="0" w:color="auto"/>
        <w:right w:val="none" w:sz="0" w:space="0" w:color="auto"/>
      </w:divBdr>
      <w:divsChild>
        <w:div w:id="1489594070">
          <w:marLeft w:val="0"/>
          <w:marRight w:val="0"/>
          <w:marTop w:val="0"/>
          <w:marBottom w:val="0"/>
          <w:divBdr>
            <w:top w:val="none" w:sz="0" w:space="0" w:color="auto"/>
            <w:left w:val="none" w:sz="0" w:space="0" w:color="auto"/>
            <w:bottom w:val="none" w:sz="0" w:space="0" w:color="auto"/>
            <w:right w:val="none" w:sz="0" w:space="0" w:color="auto"/>
          </w:divBdr>
        </w:div>
      </w:divsChild>
    </w:div>
    <w:div w:id="1248997765">
      <w:bodyDiv w:val="1"/>
      <w:marLeft w:val="0"/>
      <w:marRight w:val="0"/>
      <w:marTop w:val="0"/>
      <w:marBottom w:val="0"/>
      <w:divBdr>
        <w:top w:val="none" w:sz="0" w:space="0" w:color="auto"/>
        <w:left w:val="none" w:sz="0" w:space="0" w:color="auto"/>
        <w:bottom w:val="none" w:sz="0" w:space="0" w:color="auto"/>
        <w:right w:val="none" w:sz="0" w:space="0" w:color="auto"/>
      </w:divBdr>
    </w:div>
    <w:div w:id="1304195719">
      <w:bodyDiv w:val="1"/>
      <w:marLeft w:val="0"/>
      <w:marRight w:val="0"/>
      <w:marTop w:val="0"/>
      <w:marBottom w:val="0"/>
      <w:divBdr>
        <w:top w:val="none" w:sz="0" w:space="0" w:color="auto"/>
        <w:left w:val="none" w:sz="0" w:space="0" w:color="auto"/>
        <w:bottom w:val="none" w:sz="0" w:space="0" w:color="auto"/>
        <w:right w:val="none" w:sz="0" w:space="0" w:color="auto"/>
      </w:divBdr>
    </w:div>
    <w:div w:id="1538353317">
      <w:bodyDiv w:val="1"/>
      <w:marLeft w:val="0"/>
      <w:marRight w:val="0"/>
      <w:marTop w:val="0"/>
      <w:marBottom w:val="0"/>
      <w:divBdr>
        <w:top w:val="none" w:sz="0" w:space="0" w:color="auto"/>
        <w:left w:val="none" w:sz="0" w:space="0" w:color="auto"/>
        <w:bottom w:val="none" w:sz="0" w:space="0" w:color="auto"/>
        <w:right w:val="none" w:sz="0" w:space="0" w:color="auto"/>
      </w:divBdr>
    </w:div>
    <w:div w:id="1563982541">
      <w:bodyDiv w:val="1"/>
      <w:marLeft w:val="0"/>
      <w:marRight w:val="0"/>
      <w:marTop w:val="0"/>
      <w:marBottom w:val="0"/>
      <w:divBdr>
        <w:top w:val="none" w:sz="0" w:space="0" w:color="auto"/>
        <w:left w:val="none" w:sz="0" w:space="0" w:color="auto"/>
        <w:bottom w:val="none" w:sz="0" w:space="0" w:color="auto"/>
        <w:right w:val="none" w:sz="0" w:space="0" w:color="auto"/>
      </w:divBdr>
    </w:div>
    <w:div w:id="1642690047">
      <w:bodyDiv w:val="1"/>
      <w:marLeft w:val="0"/>
      <w:marRight w:val="0"/>
      <w:marTop w:val="0"/>
      <w:marBottom w:val="0"/>
      <w:divBdr>
        <w:top w:val="none" w:sz="0" w:space="0" w:color="auto"/>
        <w:left w:val="none" w:sz="0" w:space="0" w:color="auto"/>
        <w:bottom w:val="none" w:sz="0" w:space="0" w:color="auto"/>
        <w:right w:val="none" w:sz="0" w:space="0" w:color="auto"/>
      </w:divBdr>
    </w:div>
    <w:div w:id="1649432007">
      <w:bodyDiv w:val="1"/>
      <w:marLeft w:val="0"/>
      <w:marRight w:val="0"/>
      <w:marTop w:val="0"/>
      <w:marBottom w:val="0"/>
      <w:divBdr>
        <w:top w:val="none" w:sz="0" w:space="0" w:color="auto"/>
        <w:left w:val="none" w:sz="0" w:space="0" w:color="auto"/>
        <w:bottom w:val="none" w:sz="0" w:space="0" w:color="auto"/>
        <w:right w:val="none" w:sz="0" w:space="0" w:color="auto"/>
      </w:divBdr>
    </w:div>
    <w:div w:id="1893807656">
      <w:bodyDiv w:val="1"/>
      <w:marLeft w:val="0"/>
      <w:marRight w:val="0"/>
      <w:marTop w:val="0"/>
      <w:marBottom w:val="0"/>
      <w:divBdr>
        <w:top w:val="none" w:sz="0" w:space="0" w:color="auto"/>
        <w:left w:val="none" w:sz="0" w:space="0" w:color="auto"/>
        <w:bottom w:val="none" w:sz="0" w:space="0" w:color="auto"/>
        <w:right w:val="none" w:sz="0" w:space="0" w:color="auto"/>
      </w:divBdr>
    </w:div>
    <w:div w:id="1969579775">
      <w:bodyDiv w:val="1"/>
      <w:marLeft w:val="0"/>
      <w:marRight w:val="0"/>
      <w:marTop w:val="0"/>
      <w:marBottom w:val="0"/>
      <w:divBdr>
        <w:top w:val="none" w:sz="0" w:space="0" w:color="auto"/>
        <w:left w:val="none" w:sz="0" w:space="0" w:color="auto"/>
        <w:bottom w:val="none" w:sz="0" w:space="0" w:color="auto"/>
        <w:right w:val="none" w:sz="0" w:space="0" w:color="auto"/>
      </w:divBdr>
      <w:divsChild>
        <w:div w:id="225068577">
          <w:marLeft w:val="0"/>
          <w:marRight w:val="0"/>
          <w:marTop w:val="0"/>
          <w:marBottom w:val="0"/>
          <w:divBdr>
            <w:top w:val="none" w:sz="0" w:space="0" w:color="auto"/>
            <w:left w:val="none" w:sz="0" w:space="0" w:color="auto"/>
            <w:bottom w:val="none" w:sz="0" w:space="0" w:color="auto"/>
            <w:right w:val="none" w:sz="0" w:space="0" w:color="auto"/>
          </w:divBdr>
        </w:div>
      </w:divsChild>
    </w:div>
    <w:div w:id="2033719907">
      <w:bodyDiv w:val="1"/>
      <w:marLeft w:val="0"/>
      <w:marRight w:val="0"/>
      <w:marTop w:val="0"/>
      <w:marBottom w:val="0"/>
      <w:divBdr>
        <w:top w:val="none" w:sz="0" w:space="0" w:color="auto"/>
        <w:left w:val="none" w:sz="0" w:space="0" w:color="auto"/>
        <w:bottom w:val="none" w:sz="0" w:space="0" w:color="auto"/>
        <w:right w:val="none" w:sz="0" w:space="0" w:color="auto"/>
      </w:divBdr>
    </w:div>
    <w:div w:id="2111930310">
      <w:bodyDiv w:val="1"/>
      <w:marLeft w:val="0"/>
      <w:marRight w:val="0"/>
      <w:marTop w:val="0"/>
      <w:marBottom w:val="0"/>
      <w:divBdr>
        <w:top w:val="none" w:sz="0" w:space="0" w:color="auto"/>
        <w:left w:val="none" w:sz="0" w:space="0" w:color="auto"/>
        <w:bottom w:val="none" w:sz="0" w:space="0" w:color="auto"/>
        <w:right w:val="none" w:sz="0" w:space="0" w:color="auto"/>
      </w:divBdr>
    </w:div>
    <w:div w:id="213420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nces.ed.gov/ipeds/glossary/?charindex=H" TargetMode="External"/><Relationship Id="rId2" Type="http://schemas.openxmlformats.org/officeDocument/2006/relationships/hyperlink" Target="http://hsus.cambridge.org/HSUSWeb/HSUSEntryServlet" TargetMode="External"/><Relationship Id="rId1" Type="http://schemas.openxmlformats.org/officeDocument/2006/relationships/hyperlink" Target="http://www.aacu.org/liberaleducation/le-su12/baker_baldwin_makker.cfm" TargetMode="External"/><Relationship Id="rId6" Type="http://schemas.openxmlformats.org/officeDocument/2006/relationships/hyperlink" Target="http://nchchonors.org/members-area/member-institutions-4/" TargetMode="External"/><Relationship Id="rId5" Type="http://schemas.openxmlformats.org/officeDocument/2006/relationships/hyperlink" Target="http://www.nchchonors.org/aboutnchc.shtml" TargetMode="External"/><Relationship Id="rId4" Type="http://schemas.openxmlformats.org/officeDocument/2006/relationships/hyperlink" Target="http://nces.ed.gov/pubsearch/pubsinfo.asp?pubid=2009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46022A-0764-40B2-B933-92C63BFD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5867</Words>
  <Characters>33445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39234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bkimball</dc:creator>
  <cp:keywords/>
  <dc:description/>
  <cp:lastModifiedBy>bkimball</cp:lastModifiedBy>
  <cp:revision>3</cp:revision>
  <cp:lastPrinted>2013-05-30T03:23:00Z</cp:lastPrinted>
  <dcterms:created xsi:type="dcterms:W3CDTF">2013-06-06T01:52:00Z</dcterms:created>
  <dcterms:modified xsi:type="dcterms:W3CDTF">2013-06-06T01:53:00Z</dcterms:modified>
</cp:coreProperties>
</file>